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21D22" w14:textId="77777777" w:rsidR="000024B0" w:rsidRPr="008545F4" w:rsidRDefault="000024B0" w:rsidP="007725E8">
      <w:pPr>
        <w:rPr>
          <w:rFonts w:ascii="Arial" w:hAnsi="Arial" w:cs="Arial"/>
          <w:b/>
          <w:color w:val="1F497D"/>
        </w:rPr>
      </w:pPr>
    </w:p>
    <w:p w14:paraId="26947114" w14:textId="77777777" w:rsidR="000024B0" w:rsidRPr="008545F4" w:rsidRDefault="000024B0" w:rsidP="007725E8">
      <w:pPr>
        <w:rPr>
          <w:rFonts w:ascii="Arial" w:hAnsi="Arial" w:cs="Arial"/>
          <w:b/>
        </w:rPr>
      </w:pPr>
    </w:p>
    <w:p w14:paraId="27C2C9EF" w14:textId="77777777" w:rsidR="000024B0" w:rsidRPr="008545F4" w:rsidRDefault="000024B0" w:rsidP="007725E8">
      <w:pPr>
        <w:rPr>
          <w:rFonts w:ascii="Arial" w:hAnsi="Arial" w:cs="Arial"/>
          <w:b/>
        </w:rPr>
      </w:pPr>
    </w:p>
    <w:p w14:paraId="76C99C1B" w14:textId="77777777" w:rsidR="00311675" w:rsidRPr="008D5553" w:rsidRDefault="000024B0" w:rsidP="00311675">
      <w:pPr>
        <w:pStyle w:val="Heading1"/>
        <w:jc w:val="center"/>
        <w:rPr>
          <w:rFonts w:ascii="Verdana" w:hAnsi="Verdana" w:cs="Arial"/>
          <w:lang w:val="en-GB"/>
        </w:rPr>
      </w:pPr>
      <w:r w:rsidRPr="008D5553">
        <w:rPr>
          <w:rFonts w:ascii="Verdana" w:hAnsi="Verdana" w:cs="Arial"/>
        </w:rPr>
        <w:t>Independent Remuneration Panel</w:t>
      </w:r>
    </w:p>
    <w:p w14:paraId="2F76A02F" w14:textId="77777777" w:rsidR="000024B0" w:rsidRPr="008D5553" w:rsidRDefault="00BA0333" w:rsidP="00311675">
      <w:pPr>
        <w:pStyle w:val="Heading1"/>
        <w:jc w:val="center"/>
        <w:rPr>
          <w:rFonts w:ascii="Verdana" w:hAnsi="Verdana" w:cs="Arial"/>
        </w:rPr>
      </w:pPr>
      <w:r w:rsidRPr="008D5553">
        <w:rPr>
          <w:rFonts w:ascii="Verdana" w:hAnsi="Verdana" w:cs="Arial"/>
        </w:rPr>
        <w:t>for Worcestershire District Councils</w:t>
      </w:r>
    </w:p>
    <w:p w14:paraId="74EC05F6" w14:textId="77777777" w:rsidR="000024B0" w:rsidRPr="008D5553" w:rsidRDefault="000024B0" w:rsidP="00311675">
      <w:pPr>
        <w:jc w:val="center"/>
        <w:rPr>
          <w:rFonts w:ascii="Verdana" w:hAnsi="Verdana" w:cs="Arial"/>
          <w:b/>
          <w:bCs/>
          <w:sz w:val="32"/>
          <w:szCs w:val="32"/>
          <w:lang w:val="en-US"/>
        </w:rPr>
      </w:pPr>
    </w:p>
    <w:p w14:paraId="1DAD94DF" w14:textId="77777777" w:rsidR="000024B0" w:rsidRPr="008D5553" w:rsidRDefault="000024B0" w:rsidP="00311675">
      <w:pPr>
        <w:jc w:val="center"/>
        <w:rPr>
          <w:rFonts w:ascii="Verdana" w:hAnsi="Verdana" w:cs="Arial"/>
          <w:b/>
          <w:bCs/>
          <w:sz w:val="32"/>
          <w:szCs w:val="32"/>
          <w:lang w:val="en-US"/>
        </w:rPr>
      </w:pPr>
      <w:r w:rsidRPr="008D5553">
        <w:rPr>
          <w:rFonts w:ascii="Verdana" w:hAnsi="Verdana" w:cs="Arial"/>
          <w:b/>
          <w:bCs/>
          <w:sz w:val="32"/>
          <w:szCs w:val="32"/>
          <w:lang w:val="en-US"/>
        </w:rPr>
        <w:t>Annual Report</w:t>
      </w:r>
      <w:r w:rsidR="00D224DD" w:rsidRPr="008D5553">
        <w:rPr>
          <w:rFonts w:ascii="Verdana" w:hAnsi="Verdana" w:cs="Arial"/>
          <w:b/>
          <w:bCs/>
          <w:sz w:val="32"/>
          <w:szCs w:val="32"/>
          <w:lang w:val="en-US"/>
        </w:rPr>
        <w:t xml:space="preserve"> and Recommendations for </w:t>
      </w:r>
      <w:r w:rsidR="004835E7">
        <w:rPr>
          <w:rFonts w:ascii="Verdana" w:hAnsi="Verdana" w:cs="Arial"/>
          <w:b/>
          <w:bCs/>
          <w:sz w:val="32"/>
          <w:szCs w:val="32"/>
          <w:lang w:val="en-US"/>
        </w:rPr>
        <w:t>2021-22</w:t>
      </w:r>
    </w:p>
    <w:p w14:paraId="2734F512" w14:textId="77777777" w:rsidR="000024B0" w:rsidRPr="008D5553" w:rsidRDefault="000024B0" w:rsidP="00311675">
      <w:pPr>
        <w:tabs>
          <w:tab w:val="left" w:pos="6540"/>
        </w:tabs>
        <w:jc w:val="center"/>
        <w:rPr>
          <w:rFonts w:ascii="Verdana" w:hAnsi="Verdana" w:cs="Arial"/>
          <w:b/>
          <w:bCs/>
          <w:sz w:val="32"/>
          <w:szCs w:val="32"/>
          <w:lang w:val="en-US"/>
        </w:rPr>
      </w:pPr>
    </w:p>
    <w:p w14:paraId="35AA8703" w14:textId="77777777" w:rsidR="000024B0" w:rsidRPr="008D5553" w:rsidRDefault="000024B0" w:rsidP="00311675">
      <w:pPr>
        <w:jc w:val="center"/>
        <w:rPr>
          <w:rFonts w:ascii="Verdana" w:hAnsi="Verdana" w:cs="Arial"/>
          <w:sz w:val="32"/>
          <w:szCs w:val="32"/>
          <w:lang w:val="en-US"/>
        </w:rPr>
      </w:pPr>
    </w:p>
    <w:p w14:paraId="6A0A3EE7" w14:textId="77777777" w:rsidR="000024B0" w:rsidRPr="008D5553" w:rsidRDefault="000024B0" w:rsidP="00311675">
      <w:pPr>
        <w:jc w:val="center"/>
        <w:rPr>
          <w:rFonts w:ascii="Verdana" w:hAnsi="Verdana" w:cs="Arial"/>
          <w:b/>
          <w:sz w:val="32"/>
          <w:szCs w:val="32"/>
        </w:rPr>
      </w:pPr>
    </w:p>
    <w:p w14:paraId="261C0254" w14:textId="77777777" w:rsidR="000024B0" w:rsidRPr="008D5553" w:rsidRDefault="000024B0" w:rsidP="00311675">
      <w:pPr>
        <w:tabs>
          <w:tab w:val="left" w:pos="6450"/>
        </w:tabs>
        <w:jc w:val="center"/>
        <w:rPr>
          <w:rFonts w:ascii="Verdana" w:hAnsi="Verdana" w:cs="Arial"/>
          <w:b/>
          <w:sz w:val="32"/>
          <w:szCs w:val="32"/>
        </w:rPr>
      </w:pPr>
    </w:p>
    <w:p w14:paraId="1B922543" w14:textId="77777777" w:rsidR="000024B0" w:rsidRPr="008D5553" w:rsidRDefault="000024B0" w:rsidP="00311675">
      <w:pPr>
        <w:jc w:val="center"/>
        <w:rPr>
          <w:rFonts w:ascii="Verdana" w:hAnsi="Verdana" w:cs="Arial"/>
          <w:b/>
          <w:sz w:val="32"/>
          <w:szCs w:val="32"/>
        </w:rPr>
      </w:pPr>
    </w:p>
    <w:p w14:paraId="50AC3F86" w14:textId="77777777" w:rsidR="000024B0" w:rsidRPr="008D5553" w:rsidRDefault="000024B0" w:rsidP="00311675">
      <w:pPr>
        <w:jc w:val="center"/>
        <w:rPr>
          <w:rFonts w:ascii="Verdana" w:hAnsi="Verdana" w:cs="Arial"/>
          <w:b/>
          <w:sz w:val="32"/>
          <w:szCs w:val="32"/>
        </w:rPr>
      </w:pPr>
    </w:p>
    <w:p w14:paraId="7B0DDCC1" w14:textId="4092C1FD" w:rsidR="000024B0" w:rsidRPr="00CC3F62" w:rsidRDefault="00CC3F62" w:rsidP="00311675">
      <w:pPr>
        <w:jc w:val="center"/>
        <w:rPr>
          <w:rFonts w:ascii="Verdana" w:hAnsi="Verdana" w:cs="Arial"/>
          <w:b/>
          <w:sz w:val="32"/>
          <w:szCs w:val="32"/>
        </w:rPr>
      </w:pPr>
      <w:r>
        <w:rPr>
          <w:rFonts w:ascii="Verdana" w:hAnsi="Verdana" w:cs="Arial"/>
          <w:b/>
          <w:sz w:val="32"/>
          <w:szCs w:val="32"/>
        </w:rPr>
        <w:t>Malvern Hills District Council</w:t>
      </w:r>
    </w:p>
    <w:p w14:paraId="5DDAD996" w14:textId="77777777" w:rsidR="000024B0" w:rsidRPr="008D5553" w:rsidRDefault="000024B0" w:rsidP="00311675">
      <w:pPr>
        <w:jc w:val="center"/>
        <w:rPr>
          <w:rFonts w:ascii="Verdana" w:hAnsi="Verdana" w:cs="Arial"/>
          <w:b/>
          <w:sz w:val="32"/>
          <w:szCs w:val="32"/>
        </w:rPr>
      </w:pPr>
    </w:p>
    <w:p w14:paraId="2FDA4AE7" w14:textId="77777777" w:rsidR="000024B0" w:rsidRPr="008D5553" w:rsidRDefault="000024B0" w:rsidP="007725E8">
      <w:pPr>
        <w:rPr>
          <w:rFonts w:ascii="Verdana" w:hAnsi="Verdana" w:cs="Arial"/>
          <w:b/>
        </w:rPr>
      </w:pPr>
    </w:p>
    <w:p w14:paraId="6478399C" w14:textId="77777777" w:rsidR="000024B0" w:rsidRPr="008D5553" w:rsidRDefault="000024B0" w:rsidP="007725E8">
      <w:pPr>
        <w:rPr>
          <w:rFonts w:ascii="Verdana" w:hAnsi="Verdana" w:cs="Arial"/>
          <w:b/>
        </w:rPr>
      </w:pPr>
    </w:p>
    <w:p w14:paraId="734710A0" w14:textId="77777777" w:rsidR="00311675" w:rsidRPr="008D5553" w:rsidRDefault="00311675" w:rsidP="00311675">
      <w:pPr>
        <w:jc w:val="center"/>
        <w:rPr>
          <w:rFonts w:ascii="Verdana" w:hAnsi="Verdana" w:cs="Arial"/>
          <w:b/>
        </w:rPr>
      </w:pPr>
    </w:p>
    <w:p w14:paraId="0855CD1A" w14:textId="77777777" w:rsidR="00311675" w:rsidRPr="008D5553" w:rsidRDefault="00311675" w:rsidP="00311675">
      <w:pPr>
        <w:jc w:val="center"/>
        <w:rPr>
          <w:rFonts w:ascii="Verdana" w:hAnsi="Verdana" w:cs="Arial"/>
          <w:b/>
        </w:rPr>
      </w:pPr>
    </w:p>
    <w:p w14:paraId="5EAA2567" w14:textId="77777777" w:rsidR="000024B0" w:rsidRPr="008D5553" w:rsidRDefault="00D96C32" w:rsidP="00311675">
      <w:pPr>
        <w:jc w:val="center"/>
        <w:rPr>
          <w:rFonts w:ascii="Verdana" w:hAnsi="Verdana" w:cs="Arial"/>
          <w:b/>
        </w:rPr>
      </w:pPr>
      <w:r w:rsidRPr="008D5553">
        <w:rPr>
          <w:rFonts w:ascii="Verdana" w:hAnsi="Verdana" w:cs="Arial"/>
          <w:noProof/>
          <w:lang w:val="en-US" w:eastAsia="en-US"/>
        </w:rPr>
        <mc:AlternateContent>
          <mc:Choice Requires="wps">
            <w:drawing>
              <wp:anchor distT="0" distB="0" distL="114300" distR="114300" simplePos="0" relativeHeight="251657728" behindDoc="0" locked="0" layoutInCell="0" allowOverlap="1" wp14:anchorId="1FA3149B" wp14:editId="4E5A5107">
                <wp:simplePos x="0" y="0"/>
                <wp:positionH relativeFrom="column">
                  <wp:posOffset>0</wp:posOffset>
                </wp:positionH>
                <wp:positionV relativeFrom="paragraph">
                  <wp:posOffset>66675</wp:posOffset>
                </wp:positionV>
                <wp:extent cx="6593840" cy="0"/>
                <wp:effectExtent l="19050" t="19050" r="1651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7D8C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519.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" o:allowincell="f" strokeweight="2.25pt"/>
            </w:pict>
          </mc:Fallback>
        </mc:AlternateContent>
      </w:r>
    </w:p>
    <w:p w14:paraId="4069BAC8" w14:textId="77777777" w:rsidR="000024B0" w:rsidRPr="008D5553" w:rsidRDefault="000024B0" w:rsidP="007725E8">
      <w:pPr>
        <w:rPr>
          <w:rFonts w:ascii="Verdana" w:hAnsi="Verdana" w:cs="Arial"/>
          <w:b/>
        </w:rPr>
      </w:pPr>
    </w:p>
    <w:p w14:paraId="332F66BF" w14:textId="77777777" w:rsidR="000024B0" w:rsidRPr="008D5553" w:rsidRDefault="000024B0" w:rsidP="007725E8">
      <w:pPr>
        <w:rPr>
          <w:rFonts w:ascii="Verdana" w:hAnsi="Verdana" w:cs="Arial"/>
          <w:b/>
        </w:rPr>
      </w:pPr>
    </w:p>
    <w:p w14:paraId="3C8569EE" w14:textId="77777777" w:rsidR="000024B0" w:rsidRPr="008D5553" w:rsidRDefault="000024B0" w:rsidP="007725E8">
      <w:pPr>
        <w:rPr>
          <w:rFonts w:ascii="Verdana" w:hAnsi="Verdana" w:cs="Arial"/>
          <w:b/>
        </w:rPr>
      </w:pPr>
    </w:p>
    <w:p w14:paraId="653DA04E" w14:textId="77777777" w:rsidR="000024B0" w:rsidRPr="008D5553" w:rsidRDefault="000024B0" w:rsidP="007725E8">
      <w:pPr>
        <w:rPr>
          <w:rFonts w:ascii="Verdana" w:hAnsi="Verdana" w:cs="Arial"/>
          <w:b/>
        </w:rPr>
      </w:pPr>
    </w:p>
    <w:p w14:paraId="083BD02B" w14:textId="77777777" w:rsidR="000024B0" w:rsidRPr="008D5553" w:rsidRDefault="000024B0" w:rsidP="007725E8">
      <w:pPr>
        <w:rPr>
          <w:rFonts w:ascii="Verdana" w:hAnsi="Verdana" w:cs="Arial"/>
          <w:b/>
        </w:rPr>
      </w:pPr>
    </w:p>
    <w:p w14:paraId="79ADB073" w14:textId="77777777" w:rsidR="000024B0" w:rsidRPr="008D5553" w:rsidRDefault="000024B0" w:rsidP="007725E8">
      <w:pPr>
        <w:rPr>
          <w:rFonts w:ascii="Verdana" w:hAnsi="Verdana" w:cs="Arial"/>
          <w:b/>
        </w:rPr>
      </w:pPr>
    </w:p>
    <w:p w14:paraId="175719C6" w14:textId="77777777" w:rsidR="000024B0" w:rsidRPr="008D5553" w:rsidRDefault="000024B0" w:rsidP="007725E8">
      <w:pPr>
        <w:rPr>
          <w:rFonts w:ascii="Verdana" w:hAnsi="Verdana" w:cs="Arial"/>
          <w:b/>
        </w:rPr>
      </w:pPr>
    </w:p>
    <w:p w14:paraId="03848D49" w14:textId="77777777" w:rsidR="000024B0" w:rsidRPr="008D5553" w:rsidRDefault="000024B0" w:rsidP="007725E8">
      <w:pPr>
        <w:rPr>
          <w:rFonts w:ascii="Verdana" w:hAnsi="Verdana" w:cs="Arial"/>
          <w:b/>
        </w:rPr>
      </w:pPr>
    </w:p>
    <w:p w14:paraId="0F2CE085" w14:textId="77777777" w:rsidR="000024B0" w:rsidRPr="008D5553" w:rsidRDefault="000024B0" w:rsidP="007725E8">
      <w:pPr>
        <w:rPr>
          <w:rFonts w:ascii="Verdana" w:hAnsi="Verdana" w:cs="Arial"/>
          <w:b/>
        </w:rPr>
      </w:pPr>
    </w:p>
    <w:p w14:paraId="47AE0E3B" w14:textId="77777777" w:rsidR="000024B0" w:rsidRPr="008D5553" w:rsidRDefault="000024B0" w:rsidP="007725E8">
      <w:pPr>
        <w:rPr>
          <w:rFonts w:ascii="Verdana" w:hAnsi="Verdana" w:cs="Arial"/>
          <w:b/>
        </w:rPr>
      </w:pPr>
    </w:p>
    <w:p w14:paraId="7B64C4F2" w14:textId="77777777" w:rsidR="000024B0" w:rsidRPr="008D5553" w:rsidRDefault="000024B0" w:rsidP="007725E8">
      <w:pPr>
        <w:rPr>
          <w:rFonts w:ascii="Verdana" w:hAnsi="Verdana" w:cs="Arial"/>
          <w:b/>
        </w:rPr>
      </w:pPr>
    </w:p>
    <w:p w14:paraId="63E47E1C" w14:textId="77777777" w:rsidR="000024B0" w:rsidRPr="008D5553" w:rsidRDefault="000024B0" w:rsidP="007725E8">
      <w:pPr>
        <w:rPr>
          <w:rFonts w:ascii="Verdana" w:hAnsi="Verdana" w:cs="Arial"/>
          <w:b/>
        </w:rPr>
      </w:pPr>
    </w:p>
    <w:p w14:paraId="4FC6DE4C" w14:textId="77777777" w:rsidR="000024B0" w:rsidRPr="008D5553" w:rsidRDefault="000024B0" w:rsidP="007725E8">
      <w:pPr>
        <w:rPr>
          <w:rFonts w:ascii="Verdana" w:hAnsi="Verdana" w:cs="Arial"/>
          <w:b/>
        </w:rPr>
      </w:pPr>
    </w:p>
    <w:p w14:paraId="1B4AF98E" w14:textId="77777777" w:rsidR="000024B0" w:rsidRPr="008D5553" w:rsidRDefault="000024B0" w:rsidP="007725E8">
      <w:pPr>
        <w:rPr>
          <w:rFonts w:ascii="Verdana" w:hAnsi="Verdana" w:cs="Arial"/>
          <w:b/>
        </w:rPr>
      </w:pPr>
    </w:p>
    <w:p w14:paraId="26547E4D" w14:textId="77777777" w:rsidR="000024B0" w:rsidRPr="008D5553" w:rsidRDefault="000024B0" w:rsidP="007725E8">
      <w:pPr>
        <w:rPr>
          <w:rFonts w:ascii="Verdana" w:hAnsi="Verdana" w:cs="Arial"/>
          <w:b/>
        </w:rPr>
      </w:pPr>
    </w:p>
    <w:p w14:paraId="127E0EEA" w14:textId="77777777" w:rsidR="000024B0" w:rsidRPr="008D5553" w:rsidRDefault="000024B0" w:rsidP="007725E8">
      <w:pPr>
        <w:rPr>
          <w:rFonts w:ascii="Verdana" w:hAnsi="Verdana" w:cs="Arial"/>
          <w:b/>
        </w:rPr>
      </w:pPr>
    </w:p>
    <w:p w14:paraId="090EF0AA" w14:textId="77777777" w:rsidR="000024B0" w:rsidRPr="008D5553" w:rsidRDefault="000024B0" w:rsidP="007725E8">
      <w:pPr>
        <w:rPr>
          <w:rFonts w:ascii="Verdana" w:hAnsi="Verdana" w:cs="Arial"/>
          <w:b/>
        </w:rPr>
      </w:pPr>
    </w:p>
    <w:p w14:paraId="1D337271" w14:textId="77777777" w:rsidR="000024B0" w:rsidRPr="008D5553" w:rsidRDefault="008D5553" w:rsidP="00F31E2D">
      <w:pPr>
        <w:pStyle w:val="Heading2"/>
        <w:jc w:val="right"/>
        <w:rPr>
          <w:rFonts w:ascii="Verdana" w:hAnsi="Verdana" w:cs="Arial"/>
          <w:b w:val="0"/>
        </w:rPr>
      </w:pPr>
      <w:r w:rsidRPr="008D5553">
        <w:rPr>
          <w:rFonts w:ascii="Verdana" w:hAnsi="Verdana" w:cs="Arial"/>
          <w:i w:val="0"/>
          <w:lang w:val="en-GB"/>
        </w:rPr>
        <w:t>December</w:t>
      </w:r>
      <w:r w:rsidR="003C7B13" w:rsidRPr="008D5553">
        <w:rPr>
          <w:rFonts w:ascii="Verdana" w:hAnsi="Verdana" w:cs="Arial"/>
          <w:i w:val="0"/>
          <w:lang w:val="en-GB"/>
        </w:rPr>
        <w:t xml:space="preserve"> </w:t>
      </w:r>
      <w:r w:rsidR="0040033A" w:rsidRPr="008D5553">
        <w:rPr>
          <w:rFonts w:ascii="Verdana" w:hAnsi="Verdana" w:cs="Arial"/>
          <w:i w:val="0"/>
          <w:lang w:val="en-GB"/>
        </w:rPr>
        <w:t xml:space="preserve"> </w:t>
      </w:r>
      <w:r w:rsidR="003C7B13" w:rsidRPr="008D5553">
        <w:rPr>
          <w:rFonts w:ascii="Verdana" w:hAnsi="Verdana" w:cs="Arial"/>
          <w:i w:val="0"/>
          <w:lang w:val="en-GB"/>
        </w:rPr>
        <w:t>20</w:t>
      </w:r>
      <w:r w:rsidR="004835E7">
        <w:rPr>
          <w:rFonts w:ascii="Verdana" w:hAnsi="Verdana" w:cs="Arial"/>
          <w:i w:val="0"/>
          <w:lang w:val="en-GB"/>
        </w:rPr>
        <w:t>20</w:t>
      </w:r>
      <w:r w:rsidR="000024B0" w:rsidRPr="008D5553">
        <w:rPr>
          <w:rFonts w:ascii="Verdana" w:hAnsi="Verdana" w:cs="Arial"/>
        </w:rPr>
        <w:br w:type="page"/>
      </w:r>
    </w:p>
    <w:p w14:paraId="59BA13DE" w14:textId="77777777" w:rsidR="000024B0" w:rsidRPr="008545F4" w:rsidRDefault="000024B0" w:rsidP="009D6F60">
      <w:pPr>
        <w:tabs>
          <w:tab w:val="left" w:pos="6480"/>
        </w:tabs>
        <w:rPr>
          <w:rFonts w:ascii="Arial" w:hAnsi="Arial" w:cs="Arial"/>
          <w:b/>
        </w:rPr>
      </w:pPr>
    </w:p>
    <w:p w14:paraId="52991C0A" w14:textId="77777777" w:rsidR="000024B0" w:rsidRPr="008545F4" w:rsidRDefault="000024B0" w:rsidP="00CE26E7">
      <w:pPr>
        <w:tabs>
          <w:tab w:val="left" w:pos="7560"/>
        </w:tabs>
        <w:rPr>
          <w:rFonts w:ascii="Arial" w:hAnsi="Arial" w:cs="Arial"/>
        </w:rPr>
      </w:pPr>
      <w:r w:rsidRPr="008545F4">
        <w:rPr>
          <w:rFonts w:ascii="Arial" w:hAnsi="Arial" w:cs="Arial"/>
        </w:rPr>
        <w:tab/>
      </w:r>
    </w:p>
    <w:p w14:paraId="56D59727" w14:textId="77777777" w:rsidR="000024B0" w:rsidRPr="008545F4" w:rsidRDefault="000024B0" w:rsidP="009D6F60">
      <w:pPr>
        <w:tabs>
          <w:tab w:val="left" w:pos="6480"/>
        </w:tabs>
        <w:rPr>
          <w:rFonts w:ascii="Arial" w:hAnsi="Arial" w:cs="Arial"/>
          <w:b/>
        </w:rPr>
      </w:pPr>
    </w:p>
    <w:p w14:paraId="5B14A61B" w14:textId="77777777" w:rsidR="000024B0" w:rsidRPr="008545F4" w:rsidRDefault="000024B0" w:rsidP="009D6F60">
      <w:pPr>
        <w:tabs>
          <w:tab w:val="left" w:pos="6480"/>
        </w:tabs>
        <w:rPr>
          <w:rFonts w:ascii="Arial" w:hAnsi="Arial" w:cs="Arial"/>
          <w:b/>
        </w:rPr>
      </w:pPr>
    </w:p>
    <w:tbl>
      <w:tblPr>
        <w:tblW w:w="0" w:type="auto"/>
        <w:tblInd w:w="108" w:type="dxa"/>
        <w:tblBorders>
          <w:insideV w:val="single" w:sz="4" w:space="0" w:color="auto"/>
        </w:tblBorders>
        <w:tblLook w:val="01E0" w:firstRow="1" w:lastRow="1" w:firstColumn="1" w:lastColumn="1" w:noHBand="0" w:noVBand="0"/>
      </w:tblPr>
      <w:tblGrid>
        <w:gridCol w:w="6660"/>
        <w:gridCol w:w="1574"/>
      </w:tblGrid>
      <w:tr w:rsidR="000024B0" w:rsidRPr="008D5553" w14:paraId="3E910FF2" w14:textId="77777777" w:rsidTr="00547861">
        <w:tc>
          <w:tcPr>
            <w:tcW w:w="6660" w:type="dxa"/>
          </w:tcPr>
          <w:p w14:paraId="42354C13" w14:textId="77777777" w:rsidR="000024B0" w:rsidRPr="0036110E" w:rsidRDefault="000024B0" w:rsidP="00515D24">
            <w:pPr>
              <w:tabs>
                <w:tab w:val="left" w:pos="6480"/>
              </w:tabs>
              <w:rPr>
                <w:rFonts w:ascii="Verdana" w:hAnsi="Verdana" w:cs="Arial"/>
                <w:b/>
                <w:sz w:val="22"/>
                <w:szCs w:val="22"/>
              </w:rPr>
            </w:pPr>
            <w:r w:rsidRPr="0036110E">
              <w:rPr>
                <w:rFonts w:ascii="Verdana" w:hAnsi="Verdana" w:cs="Arial"/>
                <w:b/>
                <w:sz w:val="22"/>
                <w:szCs w:val="22"/>
              </w:rPr>
              <w:t>Contents</w:t>
            </w:r>
          </w:p>
          <w:p w14:paraId="11B44ED2" w14:textId="77777777" w:rsidR="000024B0" w:rsidRPr="008D5553" w:rsidRDefault="000024B0" w:rsidP="00515D24">
            <w:pPr>
              <w:tabs>
                <w:tab w:val="left" w:pos="6480"/>
              </w:tabs>
              <w:rPr>
                <w:rFonts w:ascii="Verdana" w:hAnsi="Verdana" w:cs="Arial"/>
                <w:sz w:val="22"/>
                <w:szCs w:val="22"/>
              </w:rPr>
            </w:pPr>
          </w:p>
        </w:tc>
        <w:tc>
          <w:tcPr>
            <w:tcW w:w="1574" w:type="dxa"/>
          </w:tcPr>
          <w:p w14:paraId="4D408091" w14:textId="77777777" w:rsidR="000024B0" w:rsidRPr="0036110E" w:rsidRDefault="000024B0" w:rsidP="00515D24">
            <w:pPr>
              <w:tabs>
                <w:tab w:val="left" w:pos="6480"/>
              </w:tabs>
              <w:rPr>
                <w:rFonts w:ascii="Verdana" w:hAnsi="Verdana" w:cs="Arial"/>
                <w:b/>
                <w:sz w:val="22"/>
                <w:szCs w:val="22"/>
              </w:rPr>
            </w:pPr>
            <w:r w:rsidRPr="0036110E">
              <w:rPr>
                <w:rFonts w:ascii="Verdana" w:hAnsi="Verdana" w:cs="Arial"/>
                <w:b/>
                <w:sz w:val="22"/>
                <w:szCs w:val="22"/>
              </w:rPr>
              <w:t>Page</w:t>
            </w:r>
          </w:p>
        </w:tc>
      </w:tr>
      <w:tr w:rsidR="000024B0" w:rsidRPr="008D5553" w14:paraId="06DD3117" w14:textId="77777777" w:rsidTr="00547861">
        <w:trPr>
          <w:trHeight w:val="535"/>
        </w:trPr>
        <w:tc>
          <w:tcPr>
            <w:tcW w:w="6660" w:type="dxa"/>
          </w:tcPr>
          <w:p w14:paraId="2D4B7FB7" w14:textId="47C1147B" w:rsidR="006F3869" w:rsidRPr="00BC5310" w:rsidRDefault="000024B0" w:rsidP="00547861">
            <w:pPr>
              <w:tabs>
                <w:tab w:val="left" w:pos="6480"/>
              </w:tabs>
              <w:rPr>
                <w:rFonts w:ascii="Verdana" w:hAnsi="Verdana" w:cs="Arial"/>
                <w:sz w:val="22"/>
                <w:szCs w:val="22"/>
              </w:rPr>
            </w:pPr>
            <w:r w:rsidRPr="008D5553">
              <w:rPr>
                <w:rFonts w:ascii="Verdana" w:hAnsi="Verdana" w:cs="Arial"/>
                <w:sz w:val="22"/>
                <w:szCs w:val="22"/>
              </w:rPr>
              <w:t xml:space="preserve">Recommendations to Council </w:t>
            </w:r>
          </w:p>
        </w:tc>
        <w:tc>
          <w:tcPr>
            <w:tcW w:w="1574" w:type="dxa"/>
          </w:tcPr>
          <w:p w14:paraId="6931C8D7" w14:textId="6133CCDF" w:rsidR="006F3869" w:rsidRPr="00E40E70" w:rsidRDefault="00E40E70" w:rsidP="00547861">
            <w:pPr>
              <w:tabs>
                <w:tab w:val="left" w:pos="6480"/>
              </w:tabs>
              <w:rPr>
                <w:rFonts w:ascii="Verdana" w:hAnsi="Verdana" w:cs="Arial"/>
                <w:sz w:val="22"/>
                <w:szCs w:val="22"/>
              </w:rPr>
            </w:pPr>
            <w:r>
              <w:rPr>
                <w:rFonts w:ascii="Verdana" w:hAnsi="Verdana" w:cs="Arial"/>
                <w:sz w:val="22"/>
                <w:szCs w:val="22"/>
              </w:rPr>
              <w:t>1</w:t>
            </w:r>
          </w:p>
          <w:p w14:paraId="16F9C3E7" w14:textId="77777777" w:rsidR="0036110E" w:rsidRPr="00E40E70" w:rsidRDefault="0036110E" w:rsidP="00547861">
            <w:pPr>
              <w:tabs>
                <w:tab w:val="left" w:pos="6480"/>
              </w:tabs>
              <w:rPr>
                <w:rFonts w:ascii="Verdana" w:hAnsi="Verdana" w:cs="Arial"/>
                <w:sz w:val="22"/>
                <w:szCs w:val="22"/>
              </w:rPr>
            </w:pPr>
          </w:p>
        </w:tc>
      </w:tr>
      <w:tr w:rsidR="006F3869" w:rsidRPr="008D5553" w14:paraId="56D2F3BB" w14:textId="77777777" w:rsidTr="00547861">
        <w:trPr>
          <w:trHeight w:val="535"/>
        </w:trPr>
        <w:tc>
          <w:tcPr>
            <w:tcW w:w="6660" w:type="dxa"/>
          </w:tcPr>
          <w:p w14:paraId="613F7785" w14:textId="553B86D4" w:rsidR="006F3869" w:rsidRPr="00547861" w:rsidRDefault="006F3869" w:rsidP="00547861">
            <w:pPr>
              <w:tabs>
                <w:tab w:val="left" w:pos="6480"/>
              </w:tabs>
              <w:rPr>
                <w:rFonts w:ascii="Verdana" w:hAnsi="Verdana" w:cs="Arial"/>
                <w:sz w:val="22"/>
                <w:szCs w:val="22"/>
                <w:shd w:val="clear" w:color="auto" w:fill="FDE9D9" w:themeFill="accent6" w:themeFillTint="33"/>
              </w:rPr>
            </w:pPr>
            <w:r w:rsidRPr="008D5553">
              <w:rPr>
                <w:rFonts w:ascii="Verdana" w:hAnsi="Verdana" w:cs="Arial"/>
                <w:sz w:val="22"/>
                <w:szCs w:val="22"/>
              </w:rPr>
              <w:t>Introduction</w:t>
            </w:r>
            <w:r>
              <w:rPr>
                <w:rFonts w:ascii="Verdana" w:hAnsi="Verdana" w:cs="Arial"/>
                <w:sz w:val="22"/>
                <w:szCs w:val="22"/>
              </w:rPr>
              <w:t xml:space="preserve"> </w:t>
            </w:r>
            <w:r w:rsidRPr="0059546F">
              <w:rPr>
                <w:rFonts w:ascii="Verdana" w:hAnsi="Verdana" w:cs="Arial"/>
                <w:sz w:val="22"/>
                <w:szCs w:val="22"/>
              </w:rPr>
              <w:t>and Context</w:t>
            </w:r>
          </w:p>
        </w:tc>
        <w:tc>
          <w:tcPr>
            <w:tcW w:w="1574" w:type="dxa"/>
          </w:tcPr>
          <w:p w14:paraId="5AD920FA" w14:textId="1E4F865E" w:rsidR="006F3869" w:rsidRPr="00E40E70" w:rsidRDefault="00E40E70" w:rsidP="00547861">
            <w:pPr>
              <w:tabs>
                <w:tab w:val="left" w:pos="6480"/>
              </w:tabs>
              <w:rPr>
                <w:rFonts w:ascii="Verdana" w:hAnsi="Verdana" w:cs="Arial"/>
                <w:sz w:val="22"/>
                <w:szCs w:val="22"/>
              </w:rPr>
            </w:pPr>
            <w:r>
              <w:rPr>
                <w:rFonts w:ascii="Verdana" w:hAnsi="Verdana" w:cs="Arial"/>
                <w:sz w:val="22"/>
                <w:szCs w:val="22"/>
              </w:rPr>
              <w:t>2</w:t>
            </w:r>
          </w:p>
        </w:tc>
      </w:tr>
      <w:tr w:rsidR="004D5681" w:rsidRPr="008D5553" w14:paraId="12C9BB17" w14:textId="77777777" w:rsidTr="00547861">
        <w:trPr>
          <w:trHeight w:val="535"/>
        </w:trPr>
        <w:tc>
          <w:tcPr>
            <w:tcW w:w="6660" w:type="dxa"/>
          </w:tcPr>
          <w:p w14:paraId="45E1452B" w14:textId="58AB579B" w:rsidR="004D5681" w:rsidRPr="008D5553" w:rsidRDefault="004D5681" w:rsidP="00547861">
            <w:pPr>
              <w:tabs>
                <w:tab w:val="left" w:pos="6480"/>
              </w:tabs>
              <w:rPr>
                <w:rFonts w:ascii="Verdana" w:hAnsi="Verdana" w:cs="Arial"/>
                <w:sz w:val="22"/>
                <w:szCs w:val="22"/>
              </w:rPr>
            </w:pPr>
            <w:r w:rsidRPr="008D5553">
              <w:rPr>
                <w:rFonts w:ascii="Verdana" w:hAnsi="Verdana" w:cs="Arial"/>
                <w:sz w:val="22"/>
                <w:szCs w:val="22"/>
              </w:rPr>
              <w:t>Background Evidence and Research Undertaken</w:t>
            </w:r>
          </w:p>
        </w:tc>
        <w:tc>
          <w:tcPr>
            <w:tcW w:w="1574" w:type="dxa"/>
          </w:tcPr>
          <w:p w14:paraId="6E2762D4" w14:textId="6BC8F323" w:rsidR="006505F1" w:rsidRPr="00E40E70" w:rsidRDefault="00E40E70" w:rsidP="00547861">
            <w:pPr>
              <w:tabs>
                <w:tab w:val="left" w:pos="6480"/>
              </w:tabs>
              <w:rPr>
                <w:rFonts w:ascii="Verdana" w:hAnsi="Verdana" w:cs="Arial"/>
                <w:sz w:val="22"/>
                <w:szCs w:val="22"/>
              </w:rPr>
            </w:pPr>
            <w:r>
              <w:rPr>
                <w:rFonts w:ascii="Verdana" w:hAnsi="Verdana" w:cs="Arial"/>
                <w:sz w:val="22"/>
                <w:szCs w:val="22"/>
              </w:rPr>
              <w:t>2</w:t>
            </w:r>
          </w:p>
          <w:p w14:paraId="496A6C4E" w14:textId="77777777" w:rsidR="0036110E" w:rsidRPr="00E40E70" w:rsidRDefault="0036110E" w:rsidP="00547861">
            <w:pPr>
              <w:tabs>
                <w:tab w:val="left" w:pos="6480"/>
              </w:tabs>
              <w:rPr>
                <w:rFonts w:ascii="Verdana" w:hAnsi="Verdana" w:cs="Arial"/>
                <w:sz w:val="22"/>
                <w:szCs w:val="22"/>
              </w:rPr>
            </w:pPr>
          </w:p>
        </w:tc>
      </w:tr>
      <w:tr w:rsidR="000024B0" w:rsidRPr="008D5553" w14:paraId="3428CA83" w14:textId="77777777" w:rsidTr="00547861">
        <w:trPr>
          <w:trHeight w:val="535"/>
        </w:trPr>
        <w:tc>
          <w:tcPr>
            <w:tcW w:w="6660" w:type="dxa"/>
          </w:tcPr>
          <w:p w14:paraId="61E9E478" w14:textId="3DCF9BED" w:rsidR="000024B0" w:rsidRPr="008D5553" w:rsidRDefault="002F16D9" w:rsidP="00547861">
            <w:pPr>
              <w:tabs>
                <w:tab w:val="left" w:pos="6480"/>
              </w:tabs>
              <w:rPr>
                <w:rFonts w:ascii="Verdana" w:hAnsi="Verdana" w:cs="Arial"/>
                <w:sz w:val="22"/>
                <w:szCs w:val="22"/>
              </w:rPr>
            </w:pPr>
            <w:r w:rsidRPr="008D5553">
              <w:rPr>
                <w:rFonts w:ascii="Verdana" w:hAnsi="Verdana" w:cs="Arial"/>
                <w:sz w:val="22"/>
                <w:szCs w:val="22"/>
              </w:rPr>
              <w:t xml:space="preserve">Basic Allowance </w:t>
            </w:r>
            <w:r w:rsidR="000575F6">
              <w:rPr>
                <w:rFonts w:ascii="Verdana" w:hAnsi="Verdana" w:cs="Arial"/>
                <w:sz w:val="22"/>
                <w:szCs w:val="22"/>
              </w:rPr>
              <w:t>202</w:t>
            </w:r>
            <w:r w:rsidR="002A2C2B">
              <w:rPr>
                <w:rFonts w:ascii="Verdana" w:hAnsi="Verdana" w:cs="Arial"/>
                <w:sz w:val="22"/>
                <w:szCs w:val="22"/>
              </w:rPr>
              <w:t>1</w:t>
            </w:r>
            <w:r w:rsidR="000575F6">
              <w:rPr>
                <w:rFonts w:ascii="Verdana" w:hAnsi="Verdana" w:cs="Arial"/>
                <w:sz w:val="22"/>
                <w:szCs w:val="22"/>
              </w:rPr>
              <w:t>/2</w:t>
            </w:r>
            <w:r w:rsidR="002A2C2B">
              <w:rPr>
                <w:rFonts w:ascii="Verdana" w:hAnsi="Verdana" w:cs="Arial"/>
                <w:sz w:val="22"/>
                <w:szCs w:val="22"/>
              </w:rPr>
              <w:t>2</w:t>
            </w:r>
            <w:r w:rsidR="00BF56FA" w:rsidRPr="008D5553">
              <w:rPr>
                <w:rFonts w:ascii="Verdana" w:hAnsi="Verdana" w:cs="Arial"/>
                <w:sz w:val="22"/>
                <w:szCs w:val="22"/>
              </w:rPr>
              <w:tab/>
            </w:r>
          </w:p>
        </w:tc>
        <w:tc>
          <w:tcPr>
            <w:tcW w:w="1574" w:type="dxa"/>
          </w:tcPr>
          <w:p w14:paraId="64EEB1D3" w14:textId="6D43F05C" w:rsidR="000024B0" w:rsidRPr="00E40E70" w:rsidRDefault="00E40E70" w:rsidP="00547861">
            <w:pPr>
              <w:tabs>
                <w:tab w:val="left" w:pos="6480"/>
              </w:tabs>
              <w:rPr>
                <w:rFonts w:ascii="Verdana" w:hAnsi="Verdana" w:cs="Arial"/>
                <w:sz w:val="22"/>
                <w:szCs w:val="22"/>
              </w:rPr>
            </w:pPr>
            <w:r>
              <w:rPr>
                <w:rFonts w:ascii="Verdana" w:hAnsi="Verdana" w:cs="Arial"/>
                <w:sz w:val="22"/>
                <w:szCs w:val="22"/>
              </w:rPr>
              <w:t>4</w:t>
            </w:r>
          </w:p>
        </w:tc>
      </w:tr>
      <w:tr w:rsidR="000024B0" w:rsidRPr="008D5553" w14:paraId="448AD562" w14:textId="77777777" w:rsidTr="00547861">
        <w:trPr>
          <w:trHeight w:val="535"/>
        </w:trPr>
        <w:tc>
          <w:tcPr>
            <w:tcW w:w="6660" w:type="dxa"/>
          </w:tcPr>
          <w:p w14:paraId="411684A6" w14:textId="4C1A9EAA" w:rsidR="000024B0" w:rsidRPr="008D5553" w:rsidRDefault="000024B0" w:rsidP="00547861">
            <w:pPr>
              <w:tabs>
                <w:tab w:val="left" w:pos="6480"/>
              </w:tabs>
              <w:rPr>
                <w:rFonts w:ascii="Verdana" w:hAnsi="Verdana" w:cs="Arial"/>
                <w:sz w:val="22"/>
                <w:szCs w:val="22"/>
              </w:rPr>
            </w:pPr>
            <w:r w:rsidRPr="008D5553">
              <w:rPr>
                <w:rFonts w:ascii="Verdana" w:hAnsi="Verdana" w:cs="Arial"/>
                <w:sz w:val="22"/>
                <w:szCs w:val="22"/>
              </w:rPr>
              <w:t xml:space="preserve">Special Responsibility Allowances </w:t>
            </w:r>
            <w:r w:rsidR="000575F6">
              <w:rPr>
                <w:rFonts w:ascii="Verdana" w:hAnsi="Verdana" w:cs="Arial"/>
                <w:sz w:val="22"/>
                <w:szCs w:val="22"/>
              </w:rPr>
              <w:t>202</w:t>
            </w:r>
            <w:r w:rsidR="002A2C2B">
              <w:rPr>
                <w:rFonts w:ascii="Verdana" w:hAnsi="Verdana" w:cs="Arial"/>
                <w:sz w:val="22"/>
                <w:szCs w:val="22"/>
              </w:rPr>
              <w:t>1</w:t>
            </w:r>
            <w:r w:rsidR="000575F6">
              <w:rPr>
                <w:rFonts w:ascii="Verdana" w:hAnsi="Verdana" w:cs="Arial"/>
                <w:sz w:val="22"/>
                <w:szCs w:val="22"/>
              </w:rPr>
              <w:t>/2</w:t>
            </w:r>
            <w:r w:rsidR="002A2C2B">
              <w:rPr>
                <w:rFonts w:ascii="Verdana" w:hAnsi="Verdana" w:cs="Arial"/>
                <w:sz w:val="22"/>
                <w:szCs w:val="22"/>
              </w:rPr>
              <w:t>2</w:t>
            </w:r>
            <w:r w:rsidR="00BF56FA" w:rsidRPr="008D5553">
              <w:rPr>
                <w:rFonts w:ascii="Verdana" w:hAnsi="Verdana" w:cs="Arial"/>
                <w:sz w:val="22"/>
                <w:szCs w:val="22"/>
              </w:rPr>
              <w:tab/>
            </w:r>
          </w:p>
        </w:tc>
        <w:tc>
          <w:tcPr>
            <w:tcW w:w="1574" w:type="dxa"/>
          </w:tcPr>
          <w:p w14:paraId="17EB9A4A" w14:textId="6E34F85A" w:rsidR="000024B0" w:rsidRPr="00E40E70" w:rsidRDefault="00E40E70" w:rsidP="00547861">
            <w:pPr>
              <w:tabs>
                <w:tab w:val="left" w:pos="6480"/>
              </w:tabs>
              <w:rPr>
                <w:rFonts w:ascii="Verdana" w:hAnsi="Verdana" w:cs="Arial"/>
                <w:sz w:val="22"/>
                <w:szCs w:val="22"/>
              </w:rPr>
            </w:pPr>
            <w:r>
              <w:rPr>
                <w:rFonts w:ascii="Verdana" w:hAnsi="Verdana" w:cs="Arial"/>
                <w:sz w:val="22"/>
                <w:szCs w:val="22"/>
              </w:rPr>
              <w:t>5</w:t>
            </w:r>
          </w:p>
        </w:tc>
      </w:tr>
      <w:tr w:rsidR="000024B0" w:rsidRPr="008D5553" w14:paraId="0C133102" w14:textId="77777777" w:rsidTr="00547861">
        <w:trPr>
          <w:trHeight w:val="535"/>
        </w:trPr>
        <w:tc>
          <w:tcPr>
            <w:tcW w:w="6660" w:type="dxa"/>
          </w:tcPr>
          <w:p w14:paraId="6D6F6D1E" w14:textId="5E767165" w:rsidR="000024B0" w:rsidRPr="008D5553" w:rsidRDefault="002F16D9" w:rsidP="00547861">
            <w:pPr>
              <w:tabs>
                <w:tab w:val="left" w:pos="6480"/>
              </w:tabs>
              <w:rPr>
                <w:rFonts w:ascii="Verdana" w:hAnsi="Verdana" w:cs="Arial"/>
                <w:sz w:val="22"/>
                <w:szCs w:val="22"/>
              </w:rPr>
            </w:pPr>
            <w:r w:rsidRPr="008D5553">
              <w:rPr>
                <w:rFonts w:ascii="Verdana" w:hAnsi="Verdana" w:cs="Arial"/>
                <w:sz w:val="22"/>
                <w:szCs w:val="22"/>
              </w:rPr>
              <w:t xml:space="preserve">Mileage and Expenses </w:t>
            </w:r>
            <w:r w:rsidR="000575F6">
              <w:rPr>
                <w:rFonts w:ascii="Verdana" w:hAnsi="Verdana" w:cs="Arial"/>
                <w:sz w:val="22"/>
                <w:szCs w:val="22"/>
              </w:rPr>
              <w:t>202</w:t>
            </w:r>
            <w:r w:rsidR="002A2C2B">
              <w:rPr>
                <w:rFonts w:ascii="Verdana" w:hAnsi="Verdana" w:cs="Arial"/>
                <w:sz w:val="22"/>
                <w:szCs w:val="22"/>
              </w:rPr>
              <w:t>1</w:t>
            </w:r>
            <w:r w:rsidR="000575F6">
              <w:rPr>
                <w:rFonts w:ascii="Verdana" w:hAnsi="Verdana" w:cs="Arial"/>
                <w:sz w:val="22"/>
                <w:szCs w:val="22"/>
              </w:rPr>
              <w:t>/2</w:t>
            </w:r>
            <w:r w:rsidR="002A2C2B">
              <w:rPr>
                <w:rFonts w:ascii="Verdana" w:hAnsi="Verdana" w:cs="Arial"/>
                <w:sz w:val="22"/>
                <w:szCs w:val="22"/>
              </w:rPr>
              <w:t>2</w:t>
            </w:r>
            <w:r w:rsidR="00E92CA9" w:rsidRPr="008D5553">
              <w:rPr>
                <w:rFonts w:ascii="Verdana" w:hAnsi="Verdana" w:cs="Arial"/>
                <w:sz w:val="22"/>
                <w:szCs w:val="22"/>
              </w:rPr>
              <w:tab/>
            </w:r>
          </w:p>
        </w:tc>
        <w:tc>
          <w:tcPr>
            <w:tcW w:w="1574" w:type="dxa"/>
          </w:tcPr>
          <w:p w14:paraId="66BA170D" w14:textId="0BB73AF6" w:rsidR="000024B0" w:rsidRPr="00E40E70" w:rsidRDefault="00E40E70" w:rsidP="00547861">
            <w:pPr>
              <w:tabs>
                <w:tab w:val="left" w:pos="6480"/>
              </w:tabs>
              <w:rPr>
                <w:rFonts w:ascii="Verdana" w:hAnsi="Verdana" w:cs="Arial"/>
                <w:sz w:val="22"/>
                <w:szCs w:val="22"/>
              </w:rPr>
            </w:pPr>
            <w:r>
              <w:rPr>
                <w:rFonts w:ascii="Verdana" w:hAnsi="Verdana" w:cs="Arial"/>
                <w:sz w:val="22"/>
                <w:szCs w:val="22"/>
              </w:rPr>
              <w:t>5</w:t>
            </w:r>
          </w:p>
        </w:tc>
      </w:tr>
      <w:tr w:rsidR="00383C76" w:rsidRPr="008D5553" w14:paraId="325A4388" w14:textId="77777777" w:rsidTr="00547861">
        <w:trPr>
          <w:trHeight w:val="535"/>
        </w:trPr>
        <w:tc>
          <w:tcPr>
            <w:tcW w:w="6660" w:type="dxa"/>
          </w:tcPr>
          <w:p w14:paraId="04B4FAF7" w14:textId="4FCD7B35" w:rsidR="00383C76" w:rsidRPr="008D5553" w:rsidRDefault="00383C76" w:rsidP="00547861">
            <w:pPr>
              <w:tabs>
                <w:tab w:val="left" w:pos="6480"/>
              </w:tabs>
              <w:rPr>
                <w:rFonts w:ascii="Verdana" w:hAnsi="Verdana" w:cs="Arial"/>
                <w:sz w:val="22"/>
                <w:szCs w:val="22"/>
              </w:rPr>
            </w:pPr>
            <w:r w:rsidRPr="008D5553">
              <w:rPr>
                <w:rFonts w:ascii="Verdana" w:hAnsi="Verdana" w:cs="Arial"/>
                <w:sz w:val="22"/>
                <w:szCs w:val="22"/>
              </w:rPr>
              <w:t>Allowances to Parish</w:t>
            </w:r>
            <w:r w:rsidR="003C7B13" w:rsidRPr="008D5553">
              <w:rPr>
                <w:rFonts w:ascii="Verdana" w:hAnsi="Verdana" w:cs="Arial"/>
                <w:sz w:val="22"/>
                <w:szCs w:val="22"/>
              </w:rPr>
              <w:t xml:space="preserve"> Councils</w:t>
            </w:r>
            <w:r w:rsidR="00E92CA9" w:rsidRPr="008D5553">
              <w:rPr>
                <w:rFonts w:ascii="Verdana" w:hAnsi="Verdana" w:cs="Arial"/>
                <w:sz w:val="22"/>
                <w:szCs w:val="22"/>
              </w:rPr>
              <w:tab/>
            </w:r>
          </w:p>
        </w:tc>
        <w:tc>
          <w:tcPr>
            <w:tcW w:w="1574" w:type="dxa"/>
          </w:tcPr>
          <w:p w14:paraId="2E0C8BC1" w14:textId="141DCE16" w:rsidR="00383C76" w:rsidRPr="00E40E70" w:rsidRDefault="00E40E70" w:rsidP="00547861">
            <w:pPr>
              <w:tabs>
                <w:tab w:val="left" w:pos="6480"/>
              </w:tabs>
              <w:rPr>
                <w:rFonts w:ascii="Verdana" w:hAnsi="Verdana" w:cs="Arial"/>
                <w:sz w:val="22"/>
                <w:szCs w:val="22"/>
              </w:rPr>
            </w:pPr>
            <w:r>
              <w:rPr>
                <w:rFonts w:ascii="Verdana" w:hAnsi="Verdana" w:cs="Arial"/>
                <w:sz w:val="22"/>
                <w:szCs w:val="22"/>
              </w:rPr>
              <w:t>5</w:t>
            </w:r>
          </w:p>
        </w:tc>
      </w:tr>
      <w:tr w:rsidR="000024B0" w:rsidRPr="008D5553" w14:paraId="37D203AC" w14:textId="77777777" w:rsidTr="00547861">
        <w:trPr>
          <w:trHeight w:val="535"/>
        </w:trPr>
        <w:tc>
          <w:tcPr>
            <w:tcW w:w="6660" w:type="dxa"/>
          </w:tcPr>
          <w:p w14:paraId="4BDD78C5" w14:textId="77777777" w:rsidR="000024B0" w:rsidRPr="008D5553" w:rsidRDefault="000024B0" w:rsidP="00547861">
            <w:pPr>
              <w:tabs>
                <w:tab w:val="left" w:pos="6480"/>
              </w:tabs>
              <w:rPr>
                <w:rFonts w:ascii="Verdana" w:hAnsi="Verdana" w:cs="Arial"/>
                <w:sz w:val="22"/>
                <w:szCs w:val="22"/>
              </w:rPr>
            </w:pPr>
            <w:r w:rsidRPr="008D5553">
              <w:rPr>
                <w:rFonts w:ascii="Verdana" w:hAnsi="Verdana" w:cs="Arial"/>
                <w:sz w:val="22"/>
                <w:szCs w:val="22"/>
              </w:rPr>
              <w:t>The Independent Remuneration Panel</w:t>
            </w:r>
          </w:p>
          <w:p w14:paraId="5E414083" w14:textId="77777777" w:rsidR="000024B0" w:rsidRPr="008D5553" w:rsidRDefault="000024B0" w:rsidP="00547861">
            <w:pPr>
              <w:tabs>
                <w:tab w:val="left" w:pos="6480"/>
              </w:tabs>
              <w:rPr>
                <w:rFonts w:ascii="Verdana" w:hAnsi="Verdana" w:cs="Arial"/>
                <w:sz w:val="22"/>
                <w:szCs w:val="22"/>
              </w:rPr>
            </w:pPr>
          </w:p>
        </w:tc>
        <w:tc>
          <w:tcPr>
            <w:tcW w:w="1574" w:type="dxa"/>
          </w:tcPr>
          <w:p w14:paraId="0854C9E5" w14:textId="522371B6" w:rsidR="000024B0" w:rsidRPr="00E40E70" w:rsidRDefault="00E40E70" w:rsidP="00547861">
            <w:pPr>
              <w:tabs>
                <w:tab w:val="left" w:pos="6480"/>
              </w:tabs>
              <w:rPr>
                <w:rFonts w:ascii="Verdana" w:hAnsi="Verdana" w:cs="Arial"/>
                <w:sz w:val="22"/>
                <w:szCs w:val="22"/>
              </w:rPr>
            </w:pPr>
            <w:r>
              <w:rPr>
                <w:rFonts w:ascii="Verdana" w:hAnsi="Verdana" w:cs="Arial"/>
                <w:sz w:val="22"/>
                <w:szCs w:val="22"/>
              </w:rPr>
              <w:t>5</w:t>
            </w:r>
          </w:p>
        </w:tc>
      </w:tr>
      <w:tr w:rsidR="000024B0" w:rsidRPr="008D5553" w14:paraId="34F48682" w14:textId="77777777" w:rsidTr="00547861">
        <w:trPr>
          <w:trHeight w:val="535"/>
        </w:trPr>
        <w:tc>
          <w:tcPr>
            <w:tcW w:w="6660" w:type="dxa"/>
          </w:tcPr>
          <w:p w14:paraId="0EE3C124" w14:textId="77777777" w:rsidR="000024B0" w:rsidRPr="008D5553" w:rsidRDefault="000024B0" w:rsidP="00547861">
            <w:pPr>
              <w:tabs>
                <w:tab w:val="left" w:pos="6480"/>
              </w:tabs>
              <w:rPr>
                <w:rFonts w:ascii="Verdana" w:hAnsi="Verdana" w:cs="Arial"/>
                <w:sz w:val="22"/>
                <w:szCs w:val="22"/>
              </w:rPr>
            </w:pPr>
            <w:r w:rsidRPr="008D5553">
              <w:rPr>
                <w:rFonts w:ascii="Verdana" w:hAnsi="Verdana" w:cs="Arial"/>
                <w:sz w:val="22"/>
                <w:szCs w:val="22"/>
              </w:rPr>
              <w:t xml:space="preserve">Appendix 1 </w:t>
            </w:r>
            <w:r w:rsidR="00B40F53" w:rsidRPr="008D5553">
              <w:rPr>
                <w:rFonts w:ascii="Verdana" w:hAnsi="Verdana" w:cs="Arial"/>
                <w:sz w:val="22"/>
                <w:szCs w:val="22"/>
              </w:rPr>
              <w:t xml:space="preserve">– </w:t>
            </w:r>
            <w:r w:rsidR="00D35F5B" w:rsidRPr="008D5553">
              <w:rPr>
                <w:rFonts w:ascii="Verdana" w:hAnsi="Verdana" w:cs="Arial"/>
                <w:sz w:val="22"/>
                <w:szCs w:val="22"/>
              </w:rPr>
              <w:t>C</w:t>
            </w:r>
            <w:r w:rsidR="00B40F53" w:rsidRPr="008D5553">
              <w:rPr>
                <w:rFonts w:ascii="Verdana" w:hAnsi="Verdana" w:cs="Arial"/>
                <w:sz w:val="22"/>
                <w:szCs w:val="22"/>
              </w:rPr>
              <w:t xml:space="preserve">urrent and </w:t>
            </w:r>
            <w:r w:rsidR="00D35F5B" w:rsidRPr="008D5553">
              <w:rPr>
                <w:rFonts w:ascii="Verdana" w:hAnsi="Verdana" w:cs="Arial"/>
                <w:sz w:val="22"/>
                <w:szCs w:val="22"/>
              </w:rPr>
              <w:t>R</w:t>
            </w:r>
            <w:r w:rsidR="00B40F53" w:rsidRPr="008D5553">
              <w:rPr>
                <w:rFonts w:ascii="Verdana" w:hAnsi="Verdana" w:cs="Arial"/>
                <w:sz w:val="22"/>
                <w:szCs w:val="22"/>
              </w:rPr>
              <w:t xml:space="preserve">ecommended </w:t>
            </w:r>
            <w:r w:rsidR="00D35F5B" w:rsidRPr="008D5553">
              <w:rPr>
                <w:rFonts w:ascii="Verdana" w:hAnsi="Verdana" w:cs="Arial"/>
                <w:sz w:val="22"/>
                <w:szCs w:val="22"/>
              </w:rPr>
              <w:t>A</w:t>
            </w:r>
            <w:r w:rsidR="00B40F53" w:rsidRPr="008D5553">
              <w:rPr>
                <w:rFonts w:ascii="Verdana" w:hAnsi="Verdana" w:cs="Arial"/>
                <w:sz w:val="22"/>
                <w:szCs w:val="22"/>
              </w:rPr>
              <w:t>llowances</w:t>
            </w:r>
          </w:p>
          <w:p w14:paraId="354EB2C9" w14:textId="5589835B" w:rsidR="00D707C0" w:rsidRPr="008D5553" w:rsidRDefault="00D707C0" w:rsidP="00547861">
            <w:pPr>
              <w:tabs>
                <w:tab w:val="left" w:pos="6480"/>
              </w:tabs>
              <w:rPr>
                <w:rFonts w:ascii="Verdana" w:hAnsi="Verdana" w:cs="Arial"/>
                <w:sz w:val="22"/>
                <w:szCs w:val="22"/>
              </w:rPr>
            </w:pPr>
          </w:p>
        </w:tc>
        <w:tc>
          <w:tcPr>
            <w:tcW w:w="1574" w:type="dxa"/>
          </w:tcPr>
          <w:p w14:paraId="1A8EBD76" w14:textId="676584BB" w:rsidR="0036110E" w:rsidRPr="00E40E70" w:rsidRDefault="00E40E70" w:rsidP="00547861">
            <w:pPr>
              <w:tabs>
                <w:tab w:val="left" w:pos="6480"/>
              </w:tabs>
              <w:rPr>
                <w:rFonts w:ascii="Verdana" w:hAnsi="Verdana" w:cs="Arial"/>
                <w:sz w:val="22"/>
                <w:szCs w:val="22"/>
              </w:rPr>
            </w:pPr>
            <w:r>
              <w:rPr>
                <w:rFonts w:ascii="Verdana" w:hAnsi="Verdana" w:cs="Arial"/>
                <w:sz w:val="22"/>
                <w:szCs w:val="22"/>
              </w:rPr>
              <w:t>7</w:t>
            </w:r>
          </w:p>
          <w:p w14:paraId="3902A158" w14:textId="500A3786" w:rsidR="0036110E" w:rsidRPr="00E40E70" w:rsidRDefault="0036110E" w:rsidP="00547861">
            <w:pPr>
              <w:tabs>
                <w:tab w:val="left" w:pos="6480"/>
              </w:tabs>
              <w:rPr>
                <w:rFonts w:ascii="Verdana" w:hAnsi="Verdana" w:cs="Arial"/>
                <w:sz w:val="22"/>
                <w:szCs w:val="22"/>
              </w:rPr>
            </w:pPr>
          </w:p>
        </w:tc>
      </w:tr>
      <w:tr w:rsidR="006F3869" w:rsidRPr="008D5553" w14:paraId="31247225" w14:textId="77777777" w:rsidTr="00547861">
        <w:trPr>
          <w:trHeight w:val="535"/>
        </w:trPr>
        <w:tc>
          <w:tcPr>
            <w:tcW w:w="6660" w:type="dxa"/>
          </w:tcPr>
          <w:p w14:paraId="1660FB3B" w14:textId="77777777" w:rsidR="006F3869" w:rsidRDefault="006F3869" w:rsidP="00547861">
            <w:pPr>
              <w:tabs>
                <w:tab w:val="left" w:pos="6480"/>
              </w:tabs>
              <w:rPr>
                <w:rFonts w:ascii="Verdana" w:hAnsi="Verdana" w:cs="Arial"/>
                <w:sz w:val="22"/>
                <w:szCs w:val="22"/>
              </w:rPr>
            </w:pPr>
            <w:r w:rsidRPr="008D5553">
              <w:rPr>
                <w:rFonts w:ascii="Verdana" w:hAnsi="Verdana" w:cs="Arial"/>
                <w:sz w:val="22"/>
                <w:szCs w:val="22"/>
              </w:rPr>
              <w:t>Appendix 2 – Summary of Research</w:t>
            </w:r>
          </w:p>
          <w:p w14:paraId="284C388D" w14:textId="421E1038" w:rsidR="006F3869" w:rsidRPr="008D5553" w:rsidRDefault="006F3869" w:rsidP="00547861">
            <w:pPr>
              <w:tabs>
                <w:tab w:val="left" w:pos="6480"/>
              </w:tabs>
              <w:rPr>
                <w:rFonts w:ascii="Verdana" w:hAnsi="Verdana" w:cs="Arial"/>
                <w:sz w:val="22"/>
                <w:szCs w:val="22"/>
              </w:rPr>
            </w:pPr>
          </w:p>
        </w:tc>
        <w:tc>
          <w:tcPr>
            <w:tcW w:w="1574" w:type="dxa"/>
          </w:tcPr>
          <w:p w14:paraId="0F2247AD" w14:textId="270D61DC" w:rsidR="006F3869" w:rsidRPr="00E40E70" w:rsidRDefault="00E40E70" w:rsidP="00547861">
            <w:pPr>
              <w:tabs>
                <w:tab w:val="left" w:pos="6480"/>
              </w:tabs>
              <w:rPr>
                <w:rFonts w:ascii="Verdana" w:hAnsi="Verdana" w:cs="Arial"/>
                <w:sz w:val="22"/>
                <w:szCs w:val="22"/>
              </w:rPr>
            </w:pPr>
            <w:r>
              <w:rPr>
                <w:rFonts w:ascii="Verdana" w:hAnsi="Verdana" w:cs="Arial"/>
                <w:sz w:val="22"/>
                <w:szCs w:val="22"/>
              </w:rPr>
              <w:t>10</w:t>
            </w:r>
          </w:p>
        </w:tc>
      </w:tr>
    </w:tbl>
    <w:p w14:paraId="23D90564" w14:textId="77777777" w:rsidR="000024B0" w:rsidRPr="008D5553" w:rsidRDefault="000024B0" w:rsidP="009D6F60">
      <w:pPr>
        <w:tabs>
          <w:tab w:val="left" w:pos="6480"/>
        </w:tabs>
        <w:rPr>
          <w:rFonts w:ascii="Verdana" w:hAnsi="Verdana" w:cs="Arial"/>
          <w:b/>
          <w:sz w:val="22"/>
          <w:szCs w:val="22"/>
        </w:rPr>
      </w:pPr>
    </w:p>
    <w:p w14:paraId="57B090D6" w14:textId="77777777" w:rsidR="000024B0" w:rsidRPr="008D5553" w:rsidRDefault="000024B0" w:rsidP="00704611">
      <w:pPr>
        <w:tabs>
          <w:tab w:val="left" w:pos="7560"/>
        </w:tabs>
        <w:rPr>
          <w:rFonts w:ascii="Verdana" w:hAnsi="Verdana" w:cs="Arial"/>
          <w:sz w:val="22"/>
          <w:szCs w:val="22"/>
        </w:rPr>
      </w:pPr>
      <w:r w:rsidRPr="008D5553">
        <w:rPr>
          <w:rFonts w:ascii="Verdana" w:hAnsi="Verdana" w:cs="Arial"/>
          <w:sz w:val="22"/>
          <w:szCs w:val="22"/>
        </w:rPr>
        <w:tab/>
      </w:r>
    </w:p>
    <w:p w14:paraId="2BB154D5" w14:textId="77777777" w:rsidR="000024B0" w:rsidRPr="008D5553" w:rsidRDefault="000024B0" w:rsidP="00704611">
      <w:pPr>
        <w:tabs>
          <w:tab w:val="left" w:pos="7560"/>
        </w:tabs>
        <w:rPr>
          <w:rFonts w:ascii="Verdana" w:hAnsi="Verdana" w:cs="Arial"/>
          <w:sz w:val="22"/>
          <w:szCs w:val="22"/>
        </w:rPr>
      </w:pPr>
    </w:p>
    <w:p w14:paraId="4D104938" w14:textId="77777777" w:rsidR="000024B0" w:rsidRPr="008545F4" w:rsidRDefault="000024B0" w:rsidP="0031113C">
      <w:pPr>
        <w:tabs>
          <w:tab w:val="left" w:pos="720"/>
          <w:tab w:val="left" w:pos="2160"/>
          <w:tab w:val="left" w:pos="6480"/>
          <w:tab w:val="left" w:pos="7560"/>
        </w:tabs>
        <w:spacing w:line="480" w:lineRule="auto"/>
        <w:ind w:left="720"/>
        <w:rPr>
          <w:rFonts w:ascii="Arial" w:hAnsi="Arial" w:cs="Arial"/>
        </w:rPr>
      </w:pPr>
    </w:p>
    <w:p w14:paraId="04D5BB05" w14:textId="77777777" w:rsidR="000024B0" w:rsidRPr="008545F4" w:rsidRDefault="000024B0" w:rsidP="0031113C">
      <w:pPr>
        <w:tabs>
          <w:tab w:val="left" w:pos="720"/>
          <w:tab w:val="left" w:pos="2160"/>
          <w:tab w:val="left" w:pos="6480"/>
          <w:tab w:val="left" w:pos="7560"/>
        </w:tabs>
        <w:spacing w:line="360" w:lineRule="auto"/>
        <w:ind w:left="720"/>
        <w:rPr>
          <w:rFonts w:ascii="Arial" w:hAnsi="Arial" w:cs="Arial"/>
        </w:rPr>
      </w:pPr>
    </w:p>
    <w:p w14:paraId="167461D8" w14:textId="77777777" w:rsidR="000024B0" w:rsidRPr="008545F4" w:rsidRDefault="000024B0" w:rsidP="008D5553">
      <w:pPr>
        <w:tabs>
          <w:tab w:val="left" w:pos="1080"/>
          <w:tab w:val="left" w:pos="2160"/>
          <w:tab w:val="left" w:pos="7020"/>
        </w:tabs>
        <w:ind w:left="720"/>
        <w:rPr>
          <w:rFonts w:ascii="Arial" w:hAnsi="Arial" w:cs="Arial"/>
        </w:rPr>
        <w:sectPr w:rsidR="000024B0" w:rsidRPr="008545F4" w:rsidSect="008D5553">
          <w:headerReference w:type="even" r:id="rId8"/>
          <w:footerReference w:type="even" r:id="rId9"/>
          <w:headerReference w:type="first" r:id="rId10"/>
          <w:pgSz w:w="11906" w:h="16838"/>
          <w:pgMar w:top="1418" w:right="851" w:bottom="851" w:left="851" w:header="709" w:footer="709" w:gutter="0"/>
          <w:cols w:space="708"/>
          <w:docGrid w:linePitch="360"/>
        </w:sectPr>
      </w:pPr>
      <w:r w:rsidRPr="008545F4">
        <w:rPr>
          <w:rFonts w:ascii="Arial" w:hAnsi="Arial" w:cs="Arial"/>
        </w:rPr>
        <w:tab/>
      </w:r>
    </w:p>
    <w:p w14:paraId="09DA69B3" w14:textId="77777777" w:rsidR="000024B0" w:rsidRPr="008D5553" w:rsidRDefault="000024B0" w:rsidP="00C54F6C">
      <w:pPr>
        <w:ind w:right="-142"/>
        <w:rPr>
          <w:rFonts w:ascii="Verdana" w:hAnsi="Verdana" w:cs="Arial"/>
          <w:b/>
          <w:sz w:val="22"/>
          <w:szCs w:val="22"/>
          <w:u w:val="single"/>
        </w:rPr>
      </w:pPr>
      <w:r w:rsidRPr="008D5553">
        <w:rPr>
          <w:rFonts w:ascii="Verdana" w:hAnsi="Verdana" w:cs="Arial"/>
          <w:b/>
          <w:sz w:val="22"/>
          <w:szCs w:val="22"/>
          <w:u w:val="single"/>
        </w:rPr>
        <w:lastRenderedPageBreak/>
        <w:t>Recommendations</w:t>
      </w:r>
    </w:p>
    <w:p w14:paraId="1B159D6B" w14:textId="77777777" w:rsidR="000024B0" w:rsidRPr="008D5553" w:rsidRDefault="000024B0" w:rsidP="00C54F6C">
      <w:pPr>
        <w:ind w:right="-142"/>
        <w:rPr>
          <w:rFonts w:ascii="Verdana" w:hAnsi="Verdana" w:cs="Arial"/>
          <w:sz w:val="22"/>
          <w:szCs w:val="22"/>
        </w:rPr>
      </w:pPr>
    </w:p>
    <w:p w14:paraId="2744DDDA" w14:textId="41EF19DF" w:rsidR="00626E0F" w:rsidRPr="008D5553" w:rsidRDefault="00026B4F" w:rsidP="00C54F6C">
      <w:pPr>
        <w:ind w:right="-142"/>
        <w:rPr>
          <w:rFonts w:ascii="Verdana" w:hAnsi="Verdana" w:cs="Arial"/>
          <w:b/>
          <w:bCs/>
          <w:sz w:val="22"/>
          <w:szCs w:val="22"/>
        </w:rPr>
      </w:pPr>
      <w:r w:rsidRPr="008D5553">
        <w:rPr>
          <w:rFonts w:ascii="Verdana" w:hAnsi="Verdana" w:cs="Arial"/>
          <w:b/>
          <w:bCs/>
          <w:sz w:val="22"/>
          <w:szCs w:val="22"/>
        </w:rPr>
        <w:t xml:space="preserve">The Independent Remuneration Panel recommends to </w:t>
      </w:r>
      <w:r w:rsidR="00CC3F62">
        <w:rPr>
          <w:rFonts w:ascii="Verdana" w:hAnsi="Verdana" w:cs="Arial"/>
          <w:b/>
          <w:bCs/>
          <w:sz w:val="22"/>
          <w:szCs w:val="22"/>
        </w:rPr>
        <w:t>Malvern Hills District</w:t>
      </w:r>
      <w:r w:rsidR="008545F4" w:rsidRPr="008D5553">
        <w:rPr>
          <w:rFonts w:ascii="Verdana" w:hAnsi="Verdana" w:cs="Arial"/>
          <w:b/>
          <w:bCs/>
          <w:color w:val="FF0000"/>
          <w:sz w:val="22"/>
          <w:szCs w:val="22"/>
        </w:rPr>
        <w:t xml:space="preserve"> </w:t>
      </w:r>
      <w:r w:rsidRPr="00CC3F62">
        <w:rPr>
          <w:rFonts w:ascii="Verdana" w:hAnsi="Verdana" w:cs="Arial"/>
          <w:b/>
          <w:bCs/>
          <w:sz w:val="22"/>
          <w:szCs w:val="22"/>
        </w:rPr>
        <w:t>Council</w:t>
      </w:r>
      <w:r w:rsidRPr="008D5553">
        <w:rPr>
          <w:rFonts w:ascii="Verdana" w:hAnsi="Verdana" w:cs="Arial"/>
          <w:b/>
          <w:bCs/>
          <w:color w:val="FF0000"/>
          <w:sz w:val="22"/>
          <w:szCs w:val="22"/>
        </w:rPr>
        <w:t xml:space="preserve"> </w:t>
      </w:r>
      <w:r w:rsidRPr="008D5553">
        <w:rPr>
          <w:rFonts w:ascii="Verdana" w:hAnsi="Verdana" w:cs="Arial"/>
          <w:b/>
          <w:bCs/>
          <w:sz w:val="22"/>
          <w:szCs w:val="22"/>
        </w:rPr>
        <w:t>the following:</w:t>
      </w:r>
    </w:p>
    <w:p w14:paraId="17FFAEB8" w14:textId="77777777" w:rsidR="00626E0F" w:rsidRPr="008D5553" w:rsidRDefault="00626E0F" w:rsidP="00C54F6C">
      <w:pPr>
        <w:ind w:right="-142"/>
        <w:rPr>
          <w:rFonts w:ascii="Verdana" w:hAnsi="Verdana" w:cs="Arial"/>
          <w:b/>
          <w:bCs/>
          <w:sz w:val="22"/>
          <w:szCs w:val="22"/>
        </w:rPr>
      </w:pPr>
    </w:p>
    <w:p w14:paraId="46DE7700" w14:textId="16D983F0" w:rsidR="00D2218D" w:rsidRDefault="00626E0F" w:rsidP="0059546F">
      <w:pPr>
        <w:ind w:left="720" w:right="-142" w:hanging="720"/>
        <w:rPr>
          <w:rFonts w:ascii="Verdana" w:hAnsi="Verdana" w:cs="Arial"/>
          <w:b/>
          <w:sz w:val="22"/>
          <w:szCs w:val="22"/>
        </w:rPr>
      </w:pPr>
      <w:r w:rsidRPr="008D5553">
        <w:rPr>
          <w:rFonts w:ascii="Verdana" w:hAnsi="Verdana" w:cs="Arial"/>
          <w:b/>
          <w:sz w:val="22"/>
          <w:szCs w:val="22"/>
        </w:rPr>
        <w:t>1.</w:t>
      </w:r>
      <w:r w:rsidRPr="008D5553">
        <w:rPr>
          <w:rFonts w:ascii="Verdana" w:hAnsi="Verdana" w:cs="Arial"/>
          <w:b/>
          <w:sz w:val="22"/>
          <w:szCs w:val="22"/>
        </w:rPr>
        <w:tab/>
      </w:r>
      <w:r w:rsidR="00077DB3" w:rsidRPr="008D5553">
        <w:rPr>
          <w:rFonts w:ascii="Verdana" w:hAnsi="Verdana" w:cs="Arial"/>
          <w:b/>
          <w:sz w:val="22"/>
          <w:szCs w:val="22"/>
        </w:rPr>
        <w:t xml:space="preserve">That the Basic Allowance for </w:t>
      </w:r>
      <w:r w:rsidR="000575F6">
        <w:rPr>
          <w:rFonts w:ascii="Verdana" w:hAnsi="Verdana" w:cs="Arial"/>
          <w:b/>
          <w:sz w:val="22"/>
          <w:szCs w:val="22"/>
        </w:rPr>
        <w:t>202</w:t>
      </w:r>
      <w:r w:rsidR="004835E7">
        <w:rPr>
          <w:rFonts w:ascii="Verdana" w:hAnsi="Verdana" w:cs="Arial"/>
          <w:b/>
          <w:sz w:val="22"/>
          <w:szCs w:val="22"/>
        </w:rPr>
        <w:t>1</w:t>
      </w:r>
      <w:r w:rsidR="000575F6">
        <w:rPr>
          <w:rFonts w:ascii="Verdana" w:hAnsi="Verdana" w:cs="Arial"/>
          <w:b/>
          <w:sz w:val="22"/>
          <w:szCs w:val="22"/>
        </w:rPr>
        <w:t>-2</w:t>
      </w:r>
      <w:r w:rsidR="004835E7">
        <w:rPr>
          <w:rFonts w:ascii="Verdana" w:hAnsi="Verdana" w:cs="Arial"/>
          <w:b/>
          <w:sz w:val="22"/>
          <w:szCs w:val="22"/>
        </w:rPr>
        <w:t>2</w:t>
      </w:r>
      <w:r w:rsidR="00077DB3" w:rsidRPr="008D5553">
        <w:rPr>
          <w:rFonts w:ascii="Verdana" w:hAnsi="Verdana" w:cs="Arial"/>
          <w:b/>
          <w:sz w:val="22"/>
          <w:szCs w:val="22"/>
        </w:rPr>
        <w:t xml:space="preserve"> </w:t>
      </w:r>
      <w:r w:rsidR="00920DEC" w:rsidRPr="008D5553">
        <w:rPr>
          <w:rFonts w:ascii="Verdana" w:hAnsi="Verdana" w:cs="Arial"/>
          <w:b/>
          <w:sz w:val="22"/>
          <w:szCs w:val="22"/>
        </w:rPr>
        <w:t>is</w:t>
      </w:r>
      <w:r w:rsidR="00077DB3" w:rsidRPr="008D5553">
        <w:rPr>
          <w:rFonts w:ascii="Verdana" w:hAnsi="Verdana" w:cs="Arial"/>
          <w:b/>
          <w:sz w:val="22"/>
          <w:szCs w:val="22"/>
        </w:rPr>
        <w:t xml:space="preserve"> £</w:t>
      </w:r>
      <w:r w:rsidR="003122A8">
        <w:rPr>
          <w:rFonts w:ascii="Verdana" w:hAnsi="Verdana" w:cs="Arial"/>
          <w:b/>
          <w:sz w:val="22"/>
          <w:szCs w:val="22"/>
        </w:rPr>
        <w:t>4,650, representing a 2.75% increase</w:t>
      </w:r>
    </w:p>
    <w:p w14:paraId="5F8810A4" w14:textId="77777777" w:rsidR="00D2218D" w:rsidRDefault="00D2218D" w:rsidP="00C54F6C">
      <w:pPr>
        <w:ind w:right="-142"/>
        <w:rPr>
          <w:rFonts w:ascii="Verdana" w:hAnsi="Verdana" w:cs="Arial"/>
          <w:b/>
          <w:sz w:val="22"/>
          <w:szCs w:val="22"/>
        </w:rPr>
      </w:pPr>
    </w:p>
    <w:p w14:paraId="01F35506" w14:textId="59FF2526" w:rsidR="00D2218D" w:rsidRPr="008D5553" w:rsidRDefault="00D2218D" w:rsidP="0059546F">
      <w:pPr>
        <w:ind w:right="-142"/>
        <w:rPr>
          <w:rFonts w:ascii="Verdana" w:hAnsi="Verdana" w:cs="Arial"/>
          <w:b/>
          <w:sz w:val="22"/>
          <w:szCs w:val="22"/>
        </w:rPr>
      </w:pPr>
      <w:r>
        <w:rPr>
          <w:rFonts w:ascii="Verdana" w:hAnsi="Verdana" w:cs="Arial"/>
          <w:b/>
          <w:sz w:val="22"/>
          <w:szCs w:val="22"/>
        </w:rPr>
        <w:t>2.</w:t>
      </w:r>
      <w:r>
        <w:rPr>
          <w:rFonts w:ascii="Verdana" w:hAnsi="Verdana" w:cs="Arial"/>
          <w:b/>
          <w:sz w:val="22"/>
          <w:szCs w:val="22"/>
        </w:rPr>
        <w:tab/>
        <w:t>That the Special Responsibility Allowances are set out in Appendix 1</w:t>
      </w:r>
    </w:p>
    <w:p w14:paraId="6F117ACE" w14:textId="77777777" w:rsidR="006505F1" w:rsidRPr="008D5553" w:rsidRDefault="006505F1" w:rsidP="00C54F6C">
      <w:pPr>
        <w:ind w:right="-142"/>
        <w:rPr>
          <w:rFonts w:ascii="Verdana" w:hAnsi="Verdana" w:cs="Arial"/>
          <w:strike/>
          <w:sz w:val="22"/>
          <w:szCs w:val="22"/>
        </w:rPr>
      </w:pPr>
      <w:r w:rsidRPr="008D5553">
        <w:rPr>
          <w:rFonts w:ascii="Verdana" w:hAnsi="Verdana" w:cs="Arial"/>
          <w:b/>
          <w:sz w:val="22"/>
          <w:szCs w:val="22"/>
        </w:rPr>
        <w:tab/>
      </w:r>
    </w:p>
    <w:p w14:paraId="0CA11073" w14:textId="58DAA18E" w:rsidR="00026B4F" w:rsidRPr="008D5553" w:rsidRDefault="00D2218D" w:rsidP="00C54F6C">
      <w:pPr>
        <w:ind w:left="720" w:right="-142" w:hanging="720"/>
        <w:rPr>
          <w:rFonts w:ascii="Verdana" w:hAnsi="Verdana" w:cs="Arial"/>
          <w:b/>
          <w:bCs/>
          <w:sz w:val="22"/>
          <w:szCs w:val="22"/>
        </w:rPr>
      </w:pPr>
      <w:r>
        <w:rPr>
          <w:rFonts w:ascii="Verdana" w:hAnsi="Verdana" w:cs="Arial"/>
          <w:b/>
          <w:bCs/>
          <w:sz w:val="22"/>
          <w:szCs w:val="22"/>
        </w:rPr>
        <w:t>3</w:t>
      </w:r>
      <w:r w:rsidR="00F31E2D">
        <w:rPr>
          <w:rFonts w:ascii="Verdana" w:hAnsi="Verdana" w:cs="Arial"/>
          <w:b/>
          <w:bCs/>
          <w:sz w:val="22"/>
          <w:szCs w:val="22"/>
        </w:rPr>
        <w:t>.</w:t>
      </w:r>
      <w:r w:rsidR="00F31E2D">
        <w:rPr>
          <w:rFonts w:ascii="Verdana" w:hAnsi="Verdana" w:cs="Arial"/>
          <w:b/>
          <w:bCs/>
          <w:sz w:val="22"/>
          <w:szCs w:val="22"/>
        </w:rPr>
        <w:tab/>
      </w:r>
      <w:r w:rsidR="00026B4F" w:rsidRPr="008D5553">
        <w:rPr>
          <w:rFonts w:ascii="Verdana" w:hAnsi="Verdana" w:cs="Arial"/>
          <w:b/>
          <w:bCs/>
          <w:sz w:val="22"/>
          <w:szCs w:val="22"/>
        </w:rPr>
        <w:t xml:space="preserve">That travel allowances for </w:t>
      </w:r>
      <w:r w:rsidR="000575F6">
        <w:rPr>
          <w:rFonts w:ascii="Verdana" w:hAnsi="Verdana" w:cs="Arial"/>
          <w:b/>
          <w:bCs/>
          <w:sz w:val="22"/>
          <w:szCs w:val="22"/>
        </w:rPr>
        <w:t>202</w:t>
      </w:r>
      <w:r w:rsidR="004835E7">
        <w:rPr>
          <w:rFonts w:ascii="Verdana" w:hAnsi="Verdana" w:cs="Arial"/>
          <w:b/>
          <w:bCs/>
          <w:sz w:val="22"/>
          <w:szCs w:val="22"/>
        </w:rPr>
        <w:t>1</w:t>
      </w:r>
      <w:r w:rsidR="000575F6">
        <w:rPr>
          <w:rFonts w:ascii="Verdana" w:hAnsi="Verdana" w:cs="Arial"/>
          <w:b/>
          <w:bCs/>
          <w:sz w:val="22"/>
          <w:szCs w:val="22"/>
        </w:rPr>
        <w:t>-2</w:t>
      </w:r>
      <w:r w:rsidR="004835E7">
        <w:rPr>
          <w:rFonts w:ascii="Verdana" w:hAnsi="Verdana" w:cs="Arial"/>
          <w:b/>
          <w:bCs/>
          <w:sz w:val="22"/>
          <w:szCs w:val="22"/>
        </w:rPr>
        <w:t>2</w:t>
      </w:r>
      <w:r w:rsidR="00026B4F" w:rsidRPr="008D5553">
        <w:rPr>
          <w:rFonts w:ascii="Verdana" w:hAnsi="Verdana" w:cs="Arial"/>
          <w:b/>
          <w:bCs/>
          <w:sz w:val="22"/>
          <w:szCs w:val="22"/>
        </w:rPr>
        <w:t xml:space="preserve"> continue to be paid in</w:t>
      </w:r>
      <w:r w:rsidR="008545F4" w:rsidRPr="008D5553">
        <w:rPr>
          <w:rFonts w:ascii="Verdana" w:hAnsi="Verdana" w:cs="Arial"/>
          <w:b/>
          <w:bCs/>
          <w:sz w:val="22"/>
          <w:szCs w:val="22"/>
        </w:rPr>
        <w:t xml:space="preserve"> </w:t>
      </w:r>
      <w:r w:rsidR="00026B4F" w:rsidRPr="008D5553">
        <w:rPr>
          <w:rFonts w:ascii="Verdana" w:hAnsi="Verdana" w:cs="Arial"/>
          <w:b/>
          <w:bCs/>
          <w:sz w:val="22"/>
          <w:szCs w:val="22"/>
        </w:rPr>
        <w:t xml:space="preserve">accordance with the HMRC mileage </w:t>
      </w:r>
      <w:r w:rsidR="00547861">
        <w:rPr>
          <w:rFonts w:ascii="Verdana" w:hAnsi="Verdana" w:cs="Arial"/>
          <w:b/>
          <w:bCs/>
          <w:sz w:val="22"/>
          <w:szCs w:val="22"/>
        </w:rPr>
        <w:t>allowance</w:t>
      </w:r>
    </w:p>
    <w:p w14:paraId="1A00CDA4" w14:textId="77777777" w:rsidR="00026B4F" w:rsidRPr="008D5553" w:rsidRDefault="00026B4F" w:rsidP="00C54F6C">
      <w:pPr>
        <w:ind w:right="-142"/>
        <w:rPr>
          <w:rFonts w:ascii="Verdana" w:hAnsi="Verdana" w:cs="Arial"/>
          <w:b/>
          <w:bCs/>
          <w:sz w:val="22"/>
          <w:szCs w:val="22"/>
        </w:rPr>
      </w:pPr>
    </w:p>
    <w:p w14:paraId="2BDDD975" w14:textId="536D0794" w:rsidR="00026B4F" w:rsidRPr="008D5553" w:rsidRDefault="00D2218D" w:rsidP="00C54F6C">
      <w:pPr>
        <w:ind w:right="-142"/>
        <w:rPr>
          <w:rFonts w:ascii="Verdana" w:hAnsi="Verdana" w:cs="Arial"/>
          <w:b/>
          <w:bCs/>
          <w:sz w:val="22"/>
          <w:szCs w:val="22"/>
        </w:rPr>
      </w:pPr>
      <w:r>
        <w:rPr>
          <w:rFonts w:ascii="Verdana" w:hAnsi="Verdana" w:cs="Arial"/>
          <w:b/>
          <w:bCs/>
          <w:sz w:val="22"/>
          <w:szCs w:val="22"/>
        </w:rPr>
        <w:t>4</w:t>
      </w:r>
      <w:r w:rsidR="00626E0F" w:rsidRPr="008D5553">
        <w:rPr>
          <w:rFonts w:ascii="Verdana" w:hAnsi="Verdana" w:cs="Arial"/>
          <w:b/>
          <w:bCs/>
          <w:sz w:val="22"/>
          <w:szCs w:val="22"/>
        </w:rPr>
        <w:t>.</w:t>
      </w:r>
      <w:r w:rsidR="00626E0F" w:rsidRPr="008D5553">
        <w:rPr>
          <w:rFonts w:ascii="Verdana" w:hAnsi="Verdana" w:cs="Arial"/>
          <w:b/>
          <w:bCs/>
          <w:sz w:val="22"/>
          <w:szCs w:val="22"/>
        </w:rPr>
        <w:tab/>
      </w:r>
      <w:r w:rsidR="00026B4F" w:rsidRPr="008D5553">
        <w:rPr>
          <w:rFonts w:ascii="Verdana" w:hAnsi="Verdana" w:cs="Arial"/>
          <w:b/>
          <w:bCs/>
          <w:sz w:val="22"/>
          <w:szCs w:val="22"/>
        </w:rPr>
        <w:t xml:space="preserve">That subsistence allowances for </w:t>
      </w:r>
      <w:r w:rsidR="000575F6">
        <w:rPr>
          <w:rFonts w:ascii="Verdana" w:hAnsi="Verdana" w:cs="Arial"/>
          <w:b/>
          <w:bCs/>
          <w:sz w:val="22"/>
          <w:szCs w:val="22"/>
        </w:rPr>
        <w:t>202</w:t>
      </w:r>
      <w:r w:rsidR="004835E7">
        <w:rPr>
          <w:rFonts w:ascii="Verdana" w:hAnsi="Verdana" w:cs="Arial"/>
          <w:b/>
          <w:bCs/>
          <w:sz w:val="22"/>
          <w:szCs w:val="22"/>
        </w:rPr>
        <w:t>1</w:t>
      </w:r>
      <w:r w:rsidR="000575F6">
        <w:rPr>
          <w:rFonts w:ascii="Verdana" w:hAnsi="Verdana" w:cs="Arial"/>
          <w:b/>
          <w:bCs/>
          <w:sz w:val="22"/>
          <w:szCs w:val="22"/>
        </w:rPr>
        <w:t>-2</w:t>
      </w:r>
      <w:r w:rsidR="004835E7">
        <w:rPr>
          <w:rFonts w:ascii="Verdana" w:hAnsi="Verdana" w:cs="Arial"/>
          <w:b/>
          <w:bCs/>
          <w:sz w:val="22"/>
          <w:szCs w:val="22"/>
        </w:rPr>
        <w:t>2</w:t>
      </w:r>
      <w:r w:rsidR="00547861">
        <w:rPr>
          <w:rFonts w:ascii="Verdana" w:hAnsi="Verdana" w:cs="Arial"/>
          <w:b/>
          <w:bCs/>
          <w:sz w:val="22"/>
          <w:szCs w:val="22"/>
        </w:rPr>
        <w:t xml:space="preserve"> remain unchanged</w:t>
      </w:r>
    </w:p>
    <w:p w14:paraId="78EC1EEA" w14:textId="77777777" w:rsidR="00026B4F" w:rsidRPr="008D5553" w:rsidRDefault="00026B4F" w:rsidP="00C54F6C">
      <w:pPr>
        <w:ind w:right="-142"/>
        <w:rPr>
          <w:rFonts w:ascii="Verdana" w:hAnsi="Verdana" w:cs="Arial"/>
          <w:b/>
          <w:bCs/>
          <w:sz w:val="22"/>
          <w:szCs w:val="22"/>
        </w:rPr>
      </w:pPr>
    </w:p>
    <w:p w14:paraId="156AE6CE" w14:textId="632E44A6" w:rsidR="008545F4" w:rsidRPr="008D5553" w:rsidRDefault="00D2218D" w:rsidP="00C54F6C">
      <w:pPr>
        <w:ind w:right="-142"/>
        <w:rPr>
          <w:rFonts w:ascii="Verdana" w:hAnsi="Verdana" w:cs="Arial"/>
          <w:b/>
          <w:bCs/>
          <w:sz w:val="22"/>
          <w:szCs w:val="22"/>
        </w:rPr>
      </w:pPr>
      <w:r>
        <w:rPr>
          <w:rFonts w:ascii="Verdana" w:hAnsi="Verdana" w:cs="Arial"/>
          <w:b/>
          <w:bCs/>
          <w:sz w:val="22"/>
          <w:szCs w:val="22"/>
        </w:rPr>
        <w:t>5</w:t>
      </w:r>
      <w:r w:rsidR="00626E0F" w:rsidRPr="008D5553">
        <w:rPr>
          <w:rFonts w:ascii="Verdana" w:hAnsi="Verdana" w:cs="Arial"/>
          <w:b/>
          <w:bCs/>
          <w:sz w:val="22"/>
          <w:szCs w:val="22"/>
        </w:rPr>
        <w:t>.</w:t>
      </w:r>
      <w:r w:rsidR="00626E0F" w:rsidRPr="008D5553">
        <w:rPr>
          <w:rFonts w:ascii="Verdana" w:hAnsi="Verdana" w:cs="Arial"/>
          <w:b/>
          <w:bCs/>
          <w:sz w:val="22"/>
          <w:szCs w:val="22"/>
        </w:rPr>
        <w:tab/>
      </w:r>
      <w:r w:rsidR="00026B4F" w:rsidRPr="008D5553">
        <w:rPr>
          <w:rFonts w:ascii="Verdana" w:hAnsi="Verdana" w:cs="Arial"/>
          <w:b/>
          <w:bCs/>
          <w:sz w:val="22"/>
          <w:szCs w:val="22"/>
        </w:rPr>
        <w:t>That the Dependent Care</w:t>
      </w:r>
      <w:r w:rsidR="00547861">
        <w:rPr>
          <w:rFonts w:ascii="Verdana" w:hAnsi="Verdana" w:cs="Arial"/>
          <w:b/>
          <w:bCs/>
          <w:sz w:val="22"/>
          <w:szCs w:val="22"/>
        </w:rPr>
        <w:t>r’s Allowance remains unchanged</w:t>
      </w:r>
    </w:p>
    <w:p w14:paraId="4125209D" w14:textId="77777777" w:rsidR="008545F4" w:rsidRPr="008D5553" w:rsidRDefault="008545F4" w:rsidP="00C54F6C">
      <w:pPr>
        <w:ind w:right="-142"/>
        <w:rPr>
          <w:rFonts w:ascii="Verdana" w:hAnsi="Verdana" w:cs="Arial"/>
          <w:b/>
          <w:bCs/>
          <w:sz w:val="22"/>
          <w:szCs w:val="22"/>
        </w:rPr>
      </w:pPr>
    </w:p>
    <w:p w14:paraId="4860EE38" w14:textId="24B26638" w:rsidR="000024B0" w:rsidRPr="008D5553" w:rsidRDefault="00D2218D" w:rsidP="00C54F6C">
      <w:pPr>
        <w:ind w:right="-142"/>
        <w:rPr>
          <w:rFonts w:ascii="Verdana" w:hAnsi="Verdana" w:cs="Arial"/>
          <w:b/>
          <w:bCs/>
          <w:sz w:val="22"/>
          <w:szCs w:val="22"/>
        </w:rPr>
      </w:pPr>
      <w:r>
        <w:rPr>
          <w:rFonts w:ascii="Verdana" w:hAnsi="Verdana" w:cs="Arial"/>
          <w:b/>
          <w:bCs/>
          <w:sz w:val="22"/>
          <w:szCs w:val="22"/>
        </w:rPr>
        <w:t>6</w:t>
      </w:r>
      <w:r w:rsidR="00626E0F" w:rsidRPr="008D5553">
        <w:rPr>
          <w:rFonts w:ascii="Verdana" w:hAnsi="Verdana" w:cs="Arial"/>
          <w:b/>
          <w:bCs/>
          <w:sz w:val="22"/>
          <w:szCs w:val="22"/>
        </w:rPr>
        <w:t>.</w:t>
      </w:r>
      <w:r w:rsidR="00626E0F" w:rsidRPr="008D5553">
        <w:rPr>
          <w:rFonts w:ascii="Verdana" w:hAnsi="Verdana" w:cs="Arial"/>
          <w:b/>
          <w:bCs/>
          <w:sz w:val="22"/>
          <w:szCs w:val="22"/>
        </w:rPr>
        <w:tab/>
      </w:r>
      <w:r w:rsidR="00EA3B30" w:rsidRPr="008D5553">
        <w:rPr>
          <w:rFonts w:ascii="Verdana" w:hAnsi="Verdana" w:cs="Arial"/>
          <w:b/>
          <w:sz w:val="22"/>
          <w:szCs w:val="22"/>
        </w:rPr>
        <w:t xml:space="preserve">That for Parish Councils in the </w:t>
      </w:r>
      <w:r w:rsidR="008D5553" w:rsidRPr="00CC3F62">
        <w:rPr>
          <w:rFonts w:ascii="Verdana" w:hAnsi="Verdana" w:cs="Arial"/>
          <w:b/>
          <w:sz w:val="22"/>
          <w:szCs w:val="22"/>
        </w:rPr>
        <w:t>District</w:t>
      </w:r>
      <w:r w:rsidR="008D5553" w:rsidRPr="008D5553">
        <w:rPr>
          <w:rFonts w:ascii="Verdana" w:hAnsi="Verdana" w:cs="Arial"/>
          <w:b/>
          <w:sz w:val="22"/>
          <w:szCs w:val="22"/>
        </w:rPr>
        <w:t>,</w:t>
      </w:r>
      <w:r w:rsidR="008D5553" w:rsidRPr="008D5553">
        <w:rPr>
          <w:rFonts w:ascii="Verdana" w:hAnsi="Verdana" w:cs="Arial"/>
          <w:b/>
          <w:bCs/>
          <w:sz w:val="22"/>
          <w:szCs w:val="22"/>
        </w:rPr>
        <w:t xml:space="preserve"> </w:t>
      </w:r>
      <w:r w:rsidR="00920DEC" w:rsidRPr="008D5553">
        <w:rPr>
          <w:rFonts w:ascii="Verdana" w:hAnsi="Verdana" w:cs="Arial"/>
          <w:b/>
          <w:sz w:val="22"/>
          <w:szCs w:val="22"/>
        </w:rPr>
        <w:t xml:space="preserve">if travel and subsistence is </w:t>
      </w:r>
      <w:r w:rsidR="008D5553">
        <w:rPr>
          <w:rFonts w:ascii="Verdana" w:hAnsi="Verdana" w:cs="Arial"/>
          <w:b/>
          <w:sz w:val="22"/>
          <w:szCs w:val="22"/>
        </w:rPr>
        <w:tab/>
      </w:r>
      <w:r w:rsidR="00920DEC" w:rsidRPr="008D5553">
        <w:rPr>
          <w:rFonts w:ascii="Verdana" w:hAnsi="Verdana" w:cs="Arial"/>
          <w:b/>
          <w:sz w:val="22"/>
          <w:szCs w:val="22"/>
        </w:rPr>
        <w:t xml:space="preserve">paid, the Panel recommends that it is paid in accordance with the rates </w:t>
      </w:r>
      <w:r w:rsidR="008D5553">
        <w:rPr>
          <w:rFonts w:ascii="Verdana" w:hAnsi="Verdana" w:cs="Arial"/>
          <w:b/>
          <w:sz w:val="22"/>
          <w:szCs w:val="22"/>
        </w:rPr>
        <w:tab/>
      </w:r>
      <w:r w:rsidR="00920DEC" w:rsidRPr="008D5553">
        <w:rPr>
          <w:rFonts w:ascii="Verdana" w:hAnsi="Verdana" w:cs="Arial"/>
          <w:b/>
          <w:sz w:val="22"/>
          <w:szCs w:val="22"/>
        </w:rPr>
        <w:t>paid by</w:t>
      </w:r>
      <w:r w:rsidR="00920DEC" w:rsidRPr="008D5553">
        <w:rPr>
          <w:rFonts w:ascii="Verdana" w:hAnsi="Verdana" w:cs="Arial"/>
          <w:b/>
          <w:color w:val="FF0000"/>
          <w:sz w:val="22"/>
          <w:szCs w:val="22"/>
        </w:rPr>
        <w:t xml:space="preserve"> </w:t>
      </w:r>
      <w:r w:rsidR="00920DEC" w:rsidRPr="00CC3F62">
        <w:rPr>
          <w:rFonts w:ascii="Verdana" w:hAnsi="Verdana" w:cs="Arial"/>
          <w:b/>
          <w:sz w:val="22"/>
          <w:szCs w:val="22"/>
        </w:rPr>
        <w:t xml:space="preserve">District Council </w:t>
      </w:r>
      <w:r w:rsidR="00920DEC" w:rsidRPr="008D5553">
        <w:rPr>
          <w:rFonts w:ascii="Verdana" w:hAnsi="Verdana" w:cs="Arial"/>
          <w:b/>
          <w:sz w:val="22"/>
          <w:szCs w:val="22"/>
        </w:rPr>
        <w:t xml:space="preserve">and in accordance with the relevant </w:t>
      </w:r>
      <w:r w:rsidR="008D5553">
        <w:rPr>
          <w:rFonts w:ascii="Verdana" w:hAnsi="Verdana" w:cs="Arial"/>
          <w:b/>
          <w:sz w:val="22"/>
          <w:szCs w:val="22"/>
        </w:rPr>
        <w:tab/>
      </w:r>
      <w:r w:rsidR="00547861">
        <w:rPr>
          <w:rFonts w:ascii="Verdana" w:hAnsi="Verdana" w:cs="Arial"/>
          <w:b/>
          <w:sz w:val="22"/>
          <w:szCs w:val="22"/>
        </w:rPr>
        <w:t>Regulations</w:t>
      </w:r>
    </w:p>
    <w:p w14:paraId="499FA340" w14:textId="77777777" w:rsidR="00285333" w:rsidRPr="008545F4" w:rsidRDefault="00285333" w:rsidP="00311675">
      <w:pPr>
        <w:ind w:left="-851"/>
        <w:rPr>
          <w:rFonts w:ascii="Arial" w:hAnsi="Arial" w:cs="Arial"/>
          <w:b/>
          <w:bCs/>
        </w:rPr>
      </w:pPr>
    </w:p>
    <w:p w14:paraId="0C469DFA" w14:textId="77777777" w:rsidR="000024B0" w:rsidRPr="008545F4" w:rsidRDefault="000024B0" w:rsidP="00DF0899">
      <w:pPr>
        <w:ind w:left="720"/>
        <w:rPr>
          <w:rFonts w:ascii="Arial" w:hAnsi="Arial" w:cs="Arial"/>
          <w:b/>
          <w:bCs/>
        </w:rPr>
      </w:pPr>
    </w:p>
    <w:p w14:paraId="0C273D7D" w14:textId="77777777" w:rsidR="00311675" w:rsidRPr="008545F4" w:rsidRDefault="00311675" w:rsidP="00311675">
      <w:pPr>
        <w:ind w:left="-851" w:right="-579"/>
        <w:rPr>
          <w:rFonts w:ascii="Arial" w:hAnsi="Arial" w:cs="Arial"/>
          <w:b/>
          <w:bCs/>
        </w:rPr>
      </w:pPr>
    </w:p>
    <w:p w14:paraId="586EAAB1" w14:textId="56E32DB1" w:rsidR="0000327D" w:rsidRPr="008D5553" w:rsidRDefault="00311675" w:rsidP="008D5553">
      <w:pPr>
        <w:ind w:right="-579"/>
        <w:rPr>
          <w:rFonts w:ascii="Verdana" w:hAnsi="Verdana" w:cs="Arial"/>
          <w:b/>
          <w:bCs/>
          <w:sz w:val="22"/>
          <w:szCs w:val="22"/>
          <w:u w:val="single"/>
        </w:rPr>
      </w:pPr>
      <w:r w:rsidRPr="008545F4">
        <w:rPr>
          <w:rFonts w:ascii="Arial" w:hAnsi="Arial" w:cs="Arial"/>
          <w:b/>
          <w:bCs/>
        </w:rPr>
        <w:br w:type="page"/>
      </w:r>
      <w:r w:rsidR="003C7B13" w:rsidRPr="008D5553">
        <w:rPr>
          <w:rFonts w:ascii="Verdana" w:hAnsi="Verdana" w:cs="Arial"/>
          <w:b/>
          <w:bCs/>
          <w:sz w:val="22"/>
          <w:szCs w:val="22"/>
          <w:u w:val="single"/>
        </w:rPr>
        <w:lastRenderedPageBreak/>
        <w:t xml:space="preserve">Introduction </w:t>
      </w:r>
      <w:r w:rsidR="00E40E70">
        <w:rPr>
          <w:rFonts w:ascii="Verdana" w:hAnsi="Verdana" w:cs="Arial"/>
          <w:b/>
          <w:bCs/>
          <w:sz w:val="22"/>
          <w:szCs w:val="22"/>
          <w:u w:val="single"/>
        </w:rPr>
        <w:t>and Context</w:t>
      </w:r>
    </w:p>
    <w:p w14:paraId="289730AD" w14:textId="77777777" w:rsidR="0000327D" w:rsidRPr="008D5553" w:rsidRDefault="0000327D" w:rsidP="008D5553">
      <w:pPr>
        <w:rPr>
          <w:rFonts w:ascii="Verdana" w:hAnsi="Verdana" w:cs="Arial"/>
          <w:bCs/>
          <w:sz w:val="22"/>
          <w:szCs w:val="22"/>
        </w:rPr>
      </w:pPr>
    </w:p>
    <w:p w14:paraId="4B3337A9" w14:textId="47C025D2" w:rsidR="00384DCC" w:rsidRDefault="00DF1364" w:rsidP="00547861">
      <w:pPr>
        <w:jc w:val="both"/>
        <w:rPr>
          <w:rFonts w:ascii="Verdana" w:hAnsi="Verdana" w:cs="Arial"/>
          <w:bCs/>
          <w:sz w:val="22"/>
          <w:szCs w:val="22"/>
        </w:rPr>
      </w:pPr>
      <w:r w:rsidRPr="008D5553">
        <w:rPr>
          <w:rFonts w:ascii="Verdana" w:hAnsi="Verdana" w:cs="Arial"/>
          <w:bCs/>
          <w:sz w:val="22"/>
          <w:szCs w:val="22"/>
        </w:rPr>
        <w:t xml:space="preserve">The </w:t>
      </w:r>
      <w:r w:rsidR="003C7B13" w:rsidRPr="008D5553">
        <w:rPr>
          <w:rFonts w:ascii="Verdana" w:hAnsi="Verdana" w:cs="Arial"/>
          <w:bCs/>
          <w:sz w:val="22"/>
          <w:szCs w:val="22"/>
        </w:rPr>
        <w:t xml:space="preserve">Independent Remuneration Panel </w:t>
      </w:r>
      <w:r w:rsidR="004D1F3F" w:rsidRPr="008D5553">
        <w:rPr>
          <w:rFonts w:ascii="Verdana" w:hAnsi="Verdana" w:cs="Arial"/>
          <w:bCs/>
          <w:sz w:val="22"/>
          <w:szCs w:val="22"/>
        </w:rPr>
        <w:t xml:space="preserve">(IRP) </w:t>
      </w:r>
      <w:r w:rsidR="003C7B13" w:rsidRPr="008D5553">
        <w:rPr>
          <w:rFonts w:ascii="Verdana" w:hAnsi="Verdana" w:cs="Arial"/>
          <w:bCs/>
          <w:sz w:val="22"/>
          <w:szCs w:val="22"/>
        </w:rPr>
        <w:t>has b</w:t>
      </w:r>
      <w:r w:rsidR="00311675" w:rsidRPr="008D5553">
        <w:rPr>
          <w:rFonts w:ascii="Verdana" w:hAnsi="Verdana" w:cs="Arial"/>
          <w:bCs/>
          <w:sz w:val="22"/>
          <w:szCs w:val="22"/>
        </w:rPr>
        <w:t xml:space="preserve">een appointed by the Council to </w:t>
      </w:r>
      <w:r w:rsidR="003C7B13" w:rsidRPr="008D5553">
        <w:rPr>
          <w:rFonts w:ascii="Verdana" w:hAnsi="Verdana" w:cs="Arial"/>
          <w:bCs/>
          <w:sz w:val="22"/>
          <w:szCs w:val="22"/>
        </w:rPr>
        <w:t xml:space="preserve">carry out reviews of the allowances paid to Councillors, as required by the Local Government Act 2000 and subsequent legislation. The </w:t>
      </w:r>
      <w:r w:rsidRPr="008D5553">
        <w:rPr>
          <w:rFonts w:ascii="Verdana" w:hAnsi="Verdana" w:cs="Arial"/>
          <w:bCs/>
          <w:sz w:val="22"/>
          <w:szCs w:val="22"/>
        </w:rPr>
        <w:t xml:space="preserve">Panel has </w:t>
      </w:r>
      <w:r w:rsidR="003C7B13" w:rsidRPr="008D5553">
        <w:rPr>
          <w:rFonts w:ascii="Verdana" w:hAnsi="Verdana" w:cs="Arial"/>
          <w:bCs/>
          <w:sz w:val="22"/>
          <w:szCs w:val="22"/>
        </w:rPr>
        <w:t xml:space="preserve">carried out </w:t>
      </w:r>
      <w:r w:rsidRPr="008D5553">
        <w:rPr>
          <w:rFonts w:ascii="Verdana" w:hAnsi="Verdana" w:cs="Arial"/>
          <w:bCs/>
          <w:sz w:val="22"/>
          <w:szCs w:val="22"/>
        </w:rPr>
        <w:t>its work in accordance with the legislation and statutory guidance.</w:t>
      </w:r>
    </w:p>
    <w:p w14:paraId="13FBBC71" w14:textId="14A1EC94" w:rsidR="006F3869" w:rsidRDefault="006F3869" w:rsidP="00D2218D">
      <w:pPr>
        <w:rPr>
          <w:rFonts w:ascii="Verdana" w:hAnsi="Verdana" w:cs="Arial"/>
          <w:bCs/>
          <w:sz w:val="22"/>
          <w:szCs w:val="22"/>
        </w:rPr>
      </w:pPr>
    </w:p>
    <w:p w14:paraId="565E4B69" w14:textId="55F61791" w:rsidR="003122A8" w:rsidRDefault="005356B7" w:rsidP="00D2218D">
      <w:pPr>
        <w:rPr>
          <w:rFonts w:ascii="Verdana" w:hAnsi="Verdana" w:cs="Arial"/>
          <w:bCs/>
          <w:sz w:val="22"/>
          <w:szCs w:val="22"/>
        </w:rPr>
      </w:pPr>
      <w:r w:rsidRPr="005356B7">
        <w:rPr>
          <w:rFonts w:ascii="Verdana" w:hAnsi="Verdana" w:cs="Arial"/>
          <w:bCs/>
          <w:sz w:val="22"/>
          <w:szCs w:val="22"/>
        </w:rPr>
        <w:t>The purpose of such allowances is to enable people from all walks of life to become involved in local politics if they choose.</w:t>
      </w:r>
    </w:p>
    <w:p w14:paraId="5CF303E5" w14:textId="77777777" w:rsidR="005356B7" w:rsidRDefault="005356B7" w:rsidP="00D2218D">
      <w:pPr>
        <w:rPr>
          <w:rFonts w:ascii="Verdana" w:hAnsi="Verdana" w:cs="Arial"/>
          <w:bCs/>
          <w:sz w:val="22"/>
          <w:szCs w:val="22"/>
        </w:rPr>
      </w:pPr>
    </w:p>
    <w:p w14:paraId="2AB0F3B7" w14:textId="04EF07D7" w:rsidR="006F3869" w:rsidRPr="008D5553" w:rsidRDefault="006F3869" w:rsidP="004342D8">
      <w:pPr>
        <w:jc w:val="both"/>
        <w:rPr>
          <w:rFonts w:ascii="Verdana" w:hAnsi="Verdana" w:cs="Arial"/>
          <w:bCs/>
          <w:sz w:val="22"/>
          <w:szCs w:val="22"/>
        </w:rPr>
      </w:pPr>
      <w:r w:rsidRPr="00D2218D">
        <w:rPr>
          <w:rFonts w:ascii="Verdana" w:hAnsi="Verdana"/>
          <w:sz w:val="22"/>
          <w:szCs w:val="22"/>
        </w:rPr>
        <w:t>The law requires each Council to ‘have regard’ to the recommendations of the Panel</w:t>
      </w:r>
      <w:r w:rsidR="0051562E">
        <w:rPr>
          <w:rFonts w:ascii="Verdana" w:hAnsi="Verdana"/>
          <w:sz w:val="22"/>
          <w:szCs w:val="22"/>
        </w:rPr>
        <w:t xml:space="preserve"> </w:t>
      </w:r>
      <w:r w:rsidR="0051562E" w:rsidRPr="0051562E">
        <w:rPr>
          <w:rFonts w:ascii="Verdana" w:hAnsi="Verdana"/>
          <w:sz w:val="22"/>
          <w:szCs w:val="22"/>
        </w:rPr>
        <w:t xml:space="preserve">and we noted that </w:t>
      </w:r>
      <w:r w:rsidR="00E40E70">
        <w:rPr>
          <w:rFonts w:ascii="Verdana" w:hAnsi="Verdana"/>
          <w:sz w:val="22"/>
          <w:szCs w:val="22"/>
        </w:rPr>
        <w:t>Malvern Hills District Co</w:t>
      </w:r>
      <w:r w:rsidR="0051562E" w:rsidRPr="0051562E">
        <w:rPr>
          <w:rFonts w:ascii="Verdana" w:hAnsi="Verdana"/>
          <w:sz w:val="22"/>
          <w:szCs w:val="22"/>
        </w:rPr>
        <w:t>uncil declined to implement the Panel's recommendation for 2020/21</w:t>
      </w:r>
      <w:r w:rsidR="0051562E">
        <w:rPr>
          <w:rFonts w:ascii="Verdana" w:hAnsi="Verdana"/>
          <w:sz w:val="22"/>
          <w:szCs w:val="22"/>
        </w:rPr>
        <w:t>.</w:t>
      </w:r>
    </w:p>
    <w:p w14:paraId="06EB2DEF" w14:textId="77777777" w:rsidR="00A8364C" w:rsidRPr="008D5553" w:rsidRDefault="00A8364C" w:rsidP="008D5553">
      <w:pPr>
        <w:rPr>
          <w:rFonts w:ascii="Verdana" w:hAnsi="Verdana" w:cs="Arial"/>
          <w:bCs/>
          <w:i/>
          <w:sz w:val="22"/>
          <w:szCs w:val="22"/>
        </w:rPr>
      </w:pPr>
    </w:p>
    <w:p w14:paraId="074DCDA5" w14:textId="77777777" w:rsidR="00D2218D" w:rsidRPr="00D2218D" w:rsidRDefault="00D2218D" w:rsidP="006C6FA7">
      <w:pPr>
        <w:jc w:val="both"/>
        <w:rPr>
          <w:rFonts w:ascii="Verdana" w:hAnsi="Verdana"/>
          <w:sz w:val="22"/>
          <w:szCs w:val="22"/>
        </w:rPr>
      </w:pPr>
      <w:r w:rsidRPr="00D2218D">
        <w:rPr>
          <w:rFonts w:ascii="Verdana" w:hAnsi="Verdana"/>
          <w:sz w:val="22"/>
          <w:szCs w:val="22"/>
        </w:rPr>
        <w:t xml:space="preserve">The work of the Panel in the current year has been significantly influenced by the ongoing  effects of the COVID-19 pandemic and the subsequent demands it has placed on individual Councils. As important as the work of the Panel is, it was clearly recognised that there were greater priorities for Council Leaders and a need to be realistic about what was required and what could be achieved during 2020.  </w:t>
      </w:r>
    </w:p>
    <w:p w14:paraId="4ED6DFAC" w14:textId="77777777" w:rsidR="00D2218D" w:rsidRPr="00D2218D" w:rsidRDefault="00D2218D" w:rsidP="006C6FA7">
      <w:pPr>
        <w:jc w:val="both"/>
        <w:rPr>
          <w:rFonts w:ascii="Verdana" w:hAnsi="Verdana"/>
          <w:sz w:val="22"/>
          <w:szCs w:val="22"/>
        </w:rPr>
      </w:pPr>
    </w:p>
    <w:p w14:paraId="244FB42F" w14:textId="46A2CDF9" w:rsidR="00D2218D" w:rsidRPr="00D2218D" w:rsidRDefault="00D2218D" w:rsidP="006C6FA7">
      <w:pPr>
        <w:jc w:val="both"/>
        <w:rPr>
          <w:rFonts w:ascii="Verdana" w:hAnsi="Verdana"/>
          <w:sz w:val="22"/>
          <w:szCs w:val="22"/>
        </w:rPr>
      </w:pPr>
      <w:r w:rsidRPr="00D2218D">
        <w:rPr>
          <w:rFonts w:ascii="Verdana" w:hAnsi="Verdana"/>
          <w:sz w:val="22"/>
          <w:szCs w:val="22"/>
        </w:rPr>
        <w:t xml:space="preserve">In view of the above, and in consultation with all constituent authorities it was decided that the report for 2021/22 would focus solely on recommendations in relation to the Basic Award and any consequential change to the </w:t>
      </w:r>
      <w:r w:rsidRPr="00D2218D">
        <w:rPr>
          <w:rFonts w:ascii="Verdana" w:hAnsi="Verdana"/>
          <w:sz w:val="22"/>
          <w:szCs w:val="22"/>
          <w:u w:val="single"/>
        </w:rPr>
        <w:t>value</w:t>
      </w:r>
      <w:r w:rsidRPr="00D2218D">
        <w:rPr>
          <w:rFonts w:ascii="Verdana" w:hAnsi="Verdana"/>
          <w:sz w:val="22"/>
          <w:szCs w:val="22"/>
        </w:rPr>
        <w:t xml:space="preserve"> of existing Special Res</w:t>
      </w:r>
      <w:r w:rsidR="00547861">
        <w:rPr>
          <w:rFonts w:ascii="Verdana" w:hAnsi="Verdana"/>
          <w:sz w:val="22"/>
          <w:szCs w:val="22"/>
        </w:rPr>
        <w:t xml:space="preserve">ponsibility Allowances (SRAs). </w:t>
      </w:r>
      <w:r w:rsidRPr="00D2218D">
        <w:rPr>
          <w:rFonts w:ascii="Verdana" w:hAnsi="Verdana"/>
          <w:sz w:val="22"/>
          <w:szCs w:val="22"/>
        </w:rPr>
        <w:t>The evidence base</w:t>
      </w:r>
      <w:r w:rsidR="00547861">
        <w:rPr>
          <w:rFonts w:ascii="Verdana" w:hAnsi="Verdana"/>
          <w:sz w:val="22"/>
          <w:szCs w:val="22"/>
        </w:rPr>
        <w:t xml:space="preserve"> for the recommended changes is set out below.</w:t>
      </w:r>
    </w:p>
    <w:p w14:paraId="20C03BBA" w14:textId="77777777" w:rsidR="00D2218D" w:rsidRPr="00D2218D" w:rsidRDefault="00D2218D" w:rsidP="006C6FA7">
      <w:pPr>
        <w:jc w:val="both"/>
        <w:rPr>
          <w:rFonts w:ascii="Verdana" w:hAnsi="Verdana"/>
          <w:sz w:val="22"/>
          <w:szCs w:val="22"/>
        </w:rPr>
      </w:pPr>
    </w:p>
    <w:p w14:paraId="09C02172" w14:textId="0B20909C" w:rsidR="00D2218D" w:rsidRPr="00D2218D" w:rsidRDefault="00D2218D" w:rsidP="006C6FA7">
      <w:pPr>
        <w:jc w:val="both"/>
        <w:rPr>
          <w:rFonts w:ascii="Verdana" w:hAnsi="Verdana"/>
          <w:sz w:val="22"/>
          <w:szCs w:val="22"/>
        </w:rPr>
      </w:pPr>
      <w:r w:rsidRPr="00D2218D">
        <w:rPr>
          <w:rFonts w:ascii="Verdana" w:hAnsi="Verdana"/>
          <w:sz w:val="22"/>
          <w:szCs w:val="22"/>
        </w:rPr>
        <w:t>This report reflects the above position and contains no new recommendations in relation to the range of wider SRAs (i.e. the m</w:t>
      </w:r>
      <w:r w:rsidR="00547861">
        <w:rPr>
          <w:rFonts w:ascii="Verdana" w:hAnsi="Verdana"/>
          <w:sz w:val="22"/>
          <w:szCs w:val="22"/>
        </w:rPr>
        <w:t xml:space="preserve">ultiplier values) for 2021/22. </w:t>
      </w:r>
      <w:r w:rsidRPr="00D2218D">
        <w:rPr>
          <w:rFonts w:ascii="Verdana" w:hAnsi="Verdana"/>
          <w:sz w:val="22"/>
          <w:szCs w:val="22"/>
        </w:rPr>
        <w:t xml:space="preserve">Such recommendations would need to have been supported by research within individual authorities and demanded the time and contribution from officers and members. Given the restrictions presented by Covid it was agreed that this would not be a useful use of resources. The Panel is hopeful, however of being able to undertake a review of SRAs during the reporting cycle leading to the 2022/23 report and in accordance with any previously published commitments. </w:t>
      </w:r>
    </w:p>
    <w:p w14:paraId="28CFCDF4" w14:textId="471CD864" w:rsidR="0051562E" w:rsidRDefault="0051562E" w:rsidP="006C6FA7">
      <w:pPr>
        <w:jc w:val="both"/>
        <w:rPr>
          <w:rFonts w:ascii="Verdana" w:hAnsi="Verdana"/>
          <w:sz w:val="22"/>
          <w:szCs w:val="22"/>
        </w:rPr>
      </w:pPr>
    </w:p>
    <w:p w14:paraId="2C2E62A2" w14:textId="4C7BDAE4" w:rsidR="0051562E" w:rsidRDefault="004342D8" w:rsidP="006C6FA7">
      <w:pPr>
        <w:jc w:val="both"/>
        <w:rPr>
          <w:rFonts w:ascii="Verdana" w:hAnsi="Verdana"/>
          <w:sz w:val="22"/>
          <w:szCs w:val="22"/>
        </w:rPr>
      </w:pPr>
      <w:r>
        <w:rPr>
          <w:rFonts w:ascii="Verdana" w:hAnsi="Verdana"/>
          <w:sz w:val="22"/>
          <w:szCs w:val="22"/>
        </w:rPr>
        <w:t xml:space="preserve">The </w:t>
      </w:r>
      <w:r w:rsidR="0051562E" w:rsidRPr="0051562E">
        <w:rPr>
          <w:rFonts w:ascii="Verdana" w:hAnsi="Verdana"/>
          <w:sz w:val="22"/>
          <w:szCs w:val="22"/>
        </w:rPr>
        <w:t xml:space="preserve">Panel acknowledges that in the current challenging times and financial climate there are difficult choices </w:t>
      </w:r>
      <w:r>
        <w:rPr>
          <w:rFonts w:ascii="Verdana" w:hAnsi="Verdana"/>
          <w:sz w:val="22"/>
          <w:szCs w:val="22"/>
        </w:rPr>
        <w:t>to be made. Whilst</w:t>
      </w:r>
      <w:r w:rsidR="0051562E" w:rsidRPr="0051562E">
        <w:rPr>
          <w:rFonts w:ascii="Verdana" w:hAnsi="Verdana"/>
          <w:sz w:val="22"/>
          <w:szCs w:val="22"/>
        </w:rPr>
        <w:t xml:space="preserve"> ultimately it is for the Council to decide how or whether to adopt the recommendations </w:t>
      </w:r>
      <w:r>
        <w:rPr>
          <w:rFonts w:ascii="Verdana" w:hAnsi="Verdana"/>
          <w:sz w:val="22"/>
          <w:szCs w:val="22"/>
        </w:rPr>
        <w:t>set out in this report, it is hoped that such recommendations serve as useful.</w:t>
      </w:r>
    </w:p>
    <w:p w14:paraId="17A94E2E" w14:textId="77777777" w:rsidR="00D2218D" w:rsidRDefault="00D2218D" w:rsidP="008D5553">
      <w:pPr>
        <w:ind w:right="-579"/>
        <w:rPr>
          <w:rFonts w:ascii="Verdana" w:hAnsi="Verdana" w:cs="Arial"/>
          <w:bCs/>
          <w:sz w:val="22"/>
          <w:szCs w:val="22"/>
        </w:rPr>
      </w:pPr>
    </w:p>
    <w:p w14:paraId="55290BC8" w14:textId="77777777" w:rsidR="003C7B13" w:rsidRPr="006066DF" w:rsidRDefault="003C7B13" w:rsidP="008D5553">
      <w:pPr>
        <w:ind w:right="-579"/>
        <w:rPr>
          <w:rFonts w:ascii="Verdana" w:hAnsi="Verdana" w:cs="Arial"/>
          <w:b/>
          <w:bCs/>
          <w:sz w:val="22"/>
          <w:szCs w:val="22"/>
          <w:u w:val="single"/>
        </w:rPr>
      </w:pPr>
      <w:r w:rsidRPr="006066DF">
        <w:rPr>
          <w:rFonts w:ascii="Verdana" w:hAnsi="Verdana" w:cs="Arial"/>
          <w:b/>
          <w:bCs/>
          <w:sz w:val="22"/>
          <w:szCs w:val="22"/>
          <w:u w:val="single"/>
        </w:rPr>
        <w:t>Background Evidence and Research Undertaken</w:t>
      </w:r>
    </w:p>
    <w:p w14:paraId="22B5E607" w14:textId="77777777" w:rsidR="003C7B13" w:rsidRPr="006066DF" w:rsidRDefault="003C7B13" w:rsidP="008D5553">
      <w:pPr>
        <w:ind w:right="-579"/>
        <w:rPr>
          <w:rFonts w:ascii="Verdana" w:hAnsi="Verdana" w:cs="Arial"/>
          <w:bCs/>
          <w:sz w:val="22"/>
          <w:szCs w:val="22"/>
        </w:rPr>
      </w:pPr>
    </w:p>
    <w:p w14:paraId="37466360" w14:textId="0906D77B" w:rsidR="001F5834" w:rsidRPr="006066DF" w:rsidRDefault="00EA795F" w:rsidP="0007325E">
      <w:pPr>
        <w:ind w:right="-142"/>
        <w:jc w:val="both"/>
        <w:rPr>
          <w:rFonts w:ascii="Verdana" w:hAnsi="Verdana" w:cs="Arial"/>
          <w:bCs/>
          <w:sz w:val="22"/>
          <w:szCs w:val="22"/>
        </w:rPr>
      </w:pPr>
      <w:r w:rsidRPr="006066DF">
        <w:rPr>
          <w:rFonts w:ascii="Verdana" w:hAnsi="Verdana" w:cs="Arial"/>
          <w:bCs/>
          <w:sz w:val="22"/>
          <w:szCs w:val="22"/>
        </w:rPr>
        <w:t>There is a rich and va</w:t>
      </w:r>
      <w:r w:rsidR="001F5834" w:rsidRPr="006066DF">
        <w:rPr>
          <w:rFonts w:ascii="Verdana" w:hAnsi="Verdana" w:cs="Arial"/>
          <w:bCs/>
          <w:sz w:val="22"/>
          <w:szCs w:val="22"/>
        </w:rPr>
        <w:t>r</w:t>
      </w:r>
      <w:r w:rsidRPr="006066DF">
        <w:rPr>
          <w:rFonts w:ascii="Verdana" w:hAnsi="Verdana" w:cs="Arial"/>
          <w:bCs/>
          <w:sz w:val="22"/>
          <w:szCs w:val="22"/>
        </w:rPr>
        <w:t>i</w:t>
      </w:r>
      <w:r w:rsidR="001F5834" w:rsidRPr="006066DF">
        <w:rPr>
          <w:rFonts w:ascii="Verdana" w:hAnsi="Verdana" w:cs="Arial"/>
          <w:bCs/>
          <w:sz w:val="22"/>
          <w:szCs w:val="22"/>
        </w:rPr>
        <w:t>ed choice of mar</w:t>
      </w:r>
      <w:r w:rsidRPr="006066DF">
        <w:rPr>
          <w:rFonts w:ascii="Verdana" w:hAnsi="Verdana" w:cs="Arial"/>
          <w:bCs/>
          <w:sz w:val="22"/>
          <w:szCs w:val="22"/>
        </w:rPr>
        <w:t>k</w:t>
      </w:r>
      <w:r w:rsidR="001F5834" w:rsidRPr="006066DF">
        <w:rPr>
          <w:rFonts w:ascii="Verdana" w:hAnsi="Verdana" w:cs="Arial"/>
          <w:bCs/>
          <w:sz w:val="22"/>
          <w:szCs w:val="22"/>
        </w:rPr>
        <w:t>et indicators on pay which can b</w:t>
      </w:r>
      <w:r w:rsidR="00547861">
        <w:rPr>
          <w:rFonts w:ascii="Verdana" w:hAnsi="Verdana" w:cs="Arial"/>
          <w:bCs/>
          <w:sz w:val="22"/>
          <w:szCs w:val="22"/>
        </w:rPr>
        <w:t>e used for comparison purposes.</w:t>
      </w:r>
      <w:r w:rsidR="001F5834" w:rsidRPr="006066DF">
        <w:rPr>
          <w:rFonts w:ascii="Verdana" w:hAnsi="Verdana" w:cs="Arial"/>
          <w:bCs/>
          <w:sz w:val="22"/>
          <w:szCs w:val="22"/>
        </w:rPr>
        <w:t xml:space="preserve"> These include:</w:t>
      </w:r>
    </w:p>
    <w:p w14:paraId="225F22A2" w14:textId="77777777" w:rsidR="001F5834" w:rsidRPr="006066DF" w:rsidRDefault="001F5834" w:rsidP="0007325E">
      <w:pPr>
        <w:ind w:right="-142"/>
        <w:jc w:val="both"/>
        <w:rPr>
          <w:rFonts w:ascii="Verdana" w:hAnsi="Verdana" w:cs="Arial"/>
          <w:bCs/>
          <w:sz w:val="22"/>
          <w:szCs w:val="22"/>
        </w:rPr>
      </w:pPr>
    </w:p>
    <w:p w14:paraId="36C062A4" w14:textId="207CA016" w:rsidR="001F5834" w:rsidRPr="006066DF" w:rsidRDefault="001F5834" w:rsidP="0007325E">
      <w:pPr>
        <w:numPr>
          <w:ilvl w:val="3"/>
          <w:numId w:val="8"/>
        </w:numPr>
        <w:tabs>
          <w:tab w:val="clear" w:pos="2520"/>
        </w:tabs>
        <w:ind w:left="0" w:right="-579" w:firstLine="0"/>
        <w:jc w:val="both"/>
        <w:rPr>
          <w:rFonts w:ascii="Verdana" w:hAnsi="Verdana" w:cs="Arial"/>
          <w:bCs/>
          <w:sz w:val="22"/>
          <w:szCs w:val="22"/>
        </w:rPr>
      </w:pPr>
      <w:r w:rsidRPr="006066DF">
        <w:rPr>
          <w:rFonts w:ascii="Verdana" w:hAnsi="Verdana" w:cs="Arial"/>
          <w:bCs/>
          <w:sz w:val="22"/>
          <w:szCs w:val="22"/>
        </w:rPr>
        <w:t>National survey data on a na</w:t>
      </w:r>
      <w:r w:rsidR="00547861">
        <w:rPr>
          <w:rFonts w:ascii="Verdana" w:hAnsi="Verdana" w:cs="Arial"/>
          <w:bCs/>
          <w:sz w:val="22"/>
          <w:szCs w:val="22"/>
        </w:rPr>
        <w:t>tional, regional or local level</w:t>
      </w:r>
    </w:p>
    <w:p w14:paraId="0D94F37D" w14:textId="36293497" w:rsidR="001F5834" w:rsidRPr="006066DF" w:rsidRDefault="001F5834" w:rsidP="0007325E">
      <w:pPr>
        <w:numPr>
          <w:ilvl w:val="3"/>
          <w:numId w:val="8"/>
        </w:numPr>
        <w:tabs>
          <w:tab w:val="clear" w:pos="2520"/>
        </w:tabs>
        <w:ind w:left="0" w:right="-579" w:firstLine="0"/>
        <w:jc w:val="both"/>
        <w:rPr>
          <w:rFonts w:ascii="Verdana" w:hAnsi="Verdana" w:cs="Arial"/>
          <w:bCs/>
          <w:sz w:val="22"/>
          <w:szCs w:val="22"/>
        </w:rPr>
      </w:pPr>
      <w:r w:rsidRPr="006066DF">
        <w:rPr>
          <w:rFonts w:ascii="Verdana" w:hAnsi="Verdana" w:cs="Arial"/>
          <w:bCs/>
          <w:sz w:val="22"/>
          <w:szCs w:val="22"/>
        </w:rPr>
        <w:t>Focussed survey</w:t>
      </w:r>
      <w:r w:rsidR="00547861">
        <w:rPr>
          <w:rFonts w:ascii="Verdana" w:hAnsi="Verdana" w:cs="Arial"/>
          <w:bCs/>
          <w:sz w:val="22"/>
          <w:szCs w:val="22"/>
        </w:rPr>
        <w:t>s on a particular public sector</w:t>
      </w:r>
    </w:p>
    <w:p w14:paraId="264DC7F2" w14:textId="77777777" w:rsidR="001F5834" w:rsidRPr="006066DF" w:rsidRDefault="001F5834" w:rsidP="0007325E">
      <w:pPr>
        <w:numPr>
          <w:ilvl w:val="0"/>
          <w:numId w:val="8"/>
        </w:numPr>
        <w:tabs>
          <w:tab w:val="clear" w:pos="360"/>
        </w:tabs>
        <w:ind w:left="0" w:right="-579" w:firstLine="0"/>
        <w:jc w:val="both"/>
        <w:rPr>
          <w:rFonts w:ascii="Verdana" w:hAnsi="Verdana" w:cs="Arial"/>
          <w:bCs/>
          <w:sz w:val="22"/>
          <w:szCs w:val="22"/>
        </w:rPr>
      </w:pPr>
      <w:r w:rsidRPr="006066DF">
        <w:rPr>
          <w:rFonts w:ascii="Verdana" w:hAnsi="Verdana" w:cs="Arial"/>
          <w:bCs/>
          <w:sz w:val="22"/>
          <w:szCs w:val="22"/>
        </w:rPr>
        <w:t>Regular or specific surveys</w:t>
      </w:r>
    </w:p>
    <w:p w14:paraId="10FC57F9" w14:textId="78E4A455" w:rsidR="001F5834" w:rsidRPr="006066DF" w:rsidRDefault="001F5834" w:rsidP="0007325E">
      <w:pPr>
        <w:numPr>
          <w:ilvl w:val="0"/>
          <w:numId w:val="8"/>
        </w:numPr>
        <w:tabs>
          <w:tab w:val="clear" w:pos="360"/>
        </w:tabs>
        <w:ind w:left="0" w:right="-579" w:firstLine="0"/>
        <w:jc w:val="both"/>
        <w:rPr>
          <w:rFonts w:ascii="Verdana" w:hAnsi="Verdana" w:cs="Arial"/>
          <w:bCs/>
          <w:sz w:val="22"/>
          <w:szCs w:val="22"/>
        </w:rPr>
      </w:pPr>
      <w:r w:rsidRPr="006066DF">
        <w:rPr>
          <w:rFonts w:ascii="Verdana" w:hAnsi="Verdana" w:cs="Arial"/>
          <w:bCs/>
          <w:sz w:val="22"/>
          <w:szCs w:val="22"/>
        </w:rPr>
        <w:t xml:space="preserve">Use </w:t>
      </w:r>
      <w:r w:rsidR="00EA795F" w:rsidRPr="006066DF">
        <w:rPr>
          <w:rFonts w:ascii="Verdana" w:hAnsi="Verdana" w:cs="Arial"/>
          <w:bCs/>
          <w:sz w:val="22"/>
          <w:szCs w:val="22"/>
        </w:rPr>
        <w:t>of specific indi</w:t>
      </w:r>
      <w:r w:rsidRPr="006066DF">
        <w:rPr>
          <w:rFonts w:ascii="Verdana" w:hAnsi="Verdana" w:cs="Arial"/>
          <w:bCs/>
          <w:sz w:val="22"/>
          <w:szCs w:val="22"/>
        </w:rPr>
        <w:t>ces to indicate moveme</w:t>
      </w:r>
      <w:r w:rsidR="00547861">
        <w:rPr>
          <w:rFonts w:ascii="Verdana" w:hAnsi="Verdana" w:cs="Arial"/>
          <w:bCs/>
          <w:sz w:val="22"/>
          <w:szCs w:val="22"/>
        </w:rPr>
        <w:t>nt in rewards or cost of living</w:t>
      </w:r>
    </w:p>
    <w:p w14:paraId="3BC7A2C1" w14:textId="77777777" w:rsidR="001F5834" w:rsidRPr="006066DF" w:rsidRDefault="001F5834" w:rsidP="0007325E">
      <w:pPr>
        <w:ind w:right="-579"/>
        <w:jc w:val="both"/>
        <w:rPr>
          <w:rFonts w:ascii="Verdana" w:hAnsi="Verdana" w:cs="Arial"/>
          <w:bCs/>
          <w:sz w:val="22"/>
          <w:szCs w:val="22"/>
        </w:rPr>
      </w:pPr>
    </w:p>
    <w:p w14:paraId="74BBA1E6" w14:textId="77777777" w:rsidR="001F5834" w:rsidRPr="006066DF" w:rsidRDefault="001F5834" w:rsidP="0007325E">
      <w:pPr>
        <w:ind w:right="-579"/>
        <w:jc w:val="both"/>
        <w:rPr>
          <w:rFonts w:ascii="Verdana" w:hAnsi="Verdana" w:cs="Arial"/>
          <w:bCs/>
          <w:sz w:val="22"/>
          <w:szCs w:val="22"/>
        </w:rPr>
      </w:pPr>
      <w:r w:rsidRPr="006066DF">
        <w:rPr>
          <w:rFonts w:ascii="Verdana" w:hAnsi="Verdana" w:cs="Arial"/>
          <w:bCs/>
          <w:sz w:val="22"/>
          <w:szCs w:val="22"/>
        </w:rPr>
        <w:t>As background for the decisions taken by the Pane</w:t>
      </w:r>
      <w:r w:rsidR="00EA795F" w:rsidRPr="006066DF">
        <w:rPr>
          <w:rFonts w:ascii="Verdana" w:hAnsi="Verdana" w:cs="Arial"/>
          <w:bCs/>
          <w:sz w:val="22"/>
          <w:szCs w:val="22"/>
        </w:rPr>
        <w:t>l</w:t>
      </w:r>
      <w:r w:rsidRPr="006066DF">
        <w:rPr>
          <w:rFonts w:ascii="Verdana" w:hAnsi="Verdana" w:cs="Arial"/>
          <w:bCs/>
          <w:sz w:val="22"/>
          <w:szCs w:val="22"/>
        </w:rPr>
        <w:t xml:space="preserve"> this year we have:</w:t>
      </w:r>
    </w:p>
    <w:p w14:paraId="5D3EE1F3" w14:textId="77777777" w:rsidR="001F5834" w:rsidRPr="006066DF" w:rsidRDefault="001F5834" w:rsidP="0007325E">
      <w:pPr>
        <w:ind w:right="-579"/>
        <w:jc w:val="both"/>
        <w:rPr>
          <w:rFonts w:ascii="Verdana" w:hAnsi="Verdana" w:cs="Arial"/>
          <w:bCs/>
          <w:sz w:val="22"/>
          <w:szCs w:val="22"/>
        </w:rPr>
      </w:pPr>
    </w:p>
    <w:p w14:paraId="506F089C" w14:textId="77777777" w:rsidR="00D2218D" w:rsidRDefault="001F5834" w:rsidP="0007325E">
      <w:pPr>
        <w:numPr>
          <w:ilvl w:val="0"/>
          <w:numId w:val="9"/>
        </w:numPr>
        <w:tabs>
          <w:tab w:val="clear" w:pos="1080"/>
          <w:tab w:val="num" w:pos="709"/>
        </w:tabs>
        <w:ind w:left="709" w:right="-579" w:hanging="709"/>
        <w:jc w:val="both"/>
        <w:rPr>
          <w:rFonts w:ascii="Verdana" w:hAnsi="Verdana" w:cs="Arial"/>
          <w:bCs/>
          <w:sz w:val="22"/>
          <w:szCs w:val="22"/>
        </w:rPr>
      </w:pPr>
      <w:r w:rsidRPr="00D2218D">
        <w:rPr>
          <w:rFonts w:ascii="Verdana" w:hAnsi="Verdana" w:cs="Arial"/>
          <w:bCs/>
          <w:sz w:val="22"/>
          <w:szCs w:val="22"/>
        </w:rPr>
        <w:lastRenderedPageBreak/>
        <w:t xml:space="preserve">Analysed and considered the </w:t>
      </w:r>
      <w:r w:rsidR="004D1F3F" w:rsidRPr="00D2218D">
        <w:rPr>
          <w:rFonts w:ascii="Verdana" w:hAnsi="Verdana" w:cs="Arial"/>
          <w:bCs/>
          <w:sz w:val="22"/>
          <w:szCs w:val="22"/>
        </w:rPr>
        <w:t>Annual Survey of Hours and Earnings (</w:t>
      </w:r>
      <w:r w:rsidRPr="00D2218D">
        <w:rPr>
          <w:rFonts w:ascii="Verdana" w:hAnsi="Verdana" w:cs="Arial"/>
          <w:bCs/>
          <w:sz w:val="22"/>
          <w:szCs w:val="22"/>
        </w:rPr>
        <w:t>ASHE</w:t>
      </w:r>
      <w:r w:rsidR="004D1F3F" w:rsidRPr="00D2218D">
        <w:rPr>
          <w:rFonts w:ascii="Verdana" w:hAnsi="Verdana" w:cs="Arial"/>
          <w:bCs/>
          <w:sz w:val="22"/>
          <w:szCs w:val="22"/>
        </w:rPr>
        <w:t>)</w:t>
      </w:r>
      <w:r w:rsidRPr="00D2218D">
        <w:rPr>
          <w:rFonts w:ascii="Verdana" w:hAnsi="Verdana" w:cs="Arial"/>
          <w:bCs/>
          <w:sz w:val="22"/>
          <w:szCs w:val="22"/>
        </w:rPr>
        <w:t xml:space="preserve"> </w:t>
      </w:r>
      <w:r w:rsidR="006066DF" w:rsidRPr="00D2218D">
        <w:rPr>
          <w:rFonts w:ascii="Verdana" w:hAnsi="Verdana" w:cs="Arial"/>
          <w:bCs/>
          <w:sz w:val="22"/>
          <w:szCs w:val="22"/>
        </w:rPr>
        <w:tab/>
      </w:r>
      <w:r w:rsidR="006066DF" w:rsidRPr="00D2218D">
        <w:rPr>
          <w:rFonts w:ascii="Verdana" w:hAnsi="Verdana" w:cs="Arial"/>
          <w:bCs/>
          <w:sz w:val="22"/>
          <w:szCs w:val="22"/>
        </w:rPr>
        <w:tab/>
      </w:r>
      <w:r w:rsidRPr="00D2218D">
        <w:rPr>
          <w:rFonts w:ascii="Verdana" w:hAnsi="Verdana" w:cs="Arial"/>
          <w:bCs/>
          <w:sz w:val="22"/>
          <w:szCs w:val="22"/>
        </w:rPr>
        <w:t>statistics for 20</w:t>
      </w:r>
      <w:r w:rsidR="00E3522B" w:rsidRPr="00D2218D">
        <w:rPr>
          <w:rFonts w:ascii="Verdana" w:hAnsi="Verdana" w:cs="Arial"/>
          <w:bCs/>
          <w:sz w:val="22"/>
          <w:szCs w:val="22"/>
        </w:rPr>
        <w:t>20</w:t>
      </w:r>
      <w:r w:rsidR="00AA0651" w:rsidRPr="00D2218D">
        <w:rPr>
          <w:rFonts w:ascii="Verdana" w:hAnsi="Verdana" w:cs="Arial"/>
          <w:bCs/>
          <w:sz w:val="22"/>
          <w:szCs w:val="22"/>
        </w:rPr>
        <w:t xml:space="preserve"> which gives the mean hourly wage rate for Worcestershire </w:t>
      </w:r>
    </w:p>
    <w:p w14:paraId="4EAA20A3" w14:textId="093616A2" w:rsidR="00D2218D" w:rsidRPr="00D2218D" w:rsidRDefault="00AA0651" w:rsidP="0007325E">
      <w:pPr>
        <w:ind w:right="-579" w:firstLine="709"/>
        <w:jc w:val="both"/>
        <w:rPr>
          <w:rFonts w:ascii="Verdana" w:hAnsi="Verdana" w:cs="Arial"/>
          <w:bCs/>
          <w:color w:val="FF0000"/>
          <w:sz w:val="22"/>
          <w:szCs w:val="22"/>
        </w:rPr>
      </w:pPr>
      <w:r w:rsidRPr="00D2218D">
        <w:rPr>
          <w:rFonts w:ascii="Verdana" w:hAnsi="Verdana" w:cs="Arial"/>
          <w:bCs/>
          <w:sz w:val="22"/>
          <w:szCs w:val="22"/>
        </w:rPr>
        <w:t>at</w:t>
      </w:r>
      <w:r w:rsidR="00D2218D">
        <w:rPr>
          <w:rFonts w:ascii="Verdana" w:hAnsi="Verdana" w:cs="Arial"/>
          <w:bCs/>
          <w:sz w:val="22"/>
          <w:szCs w:val="22"/>
        </w:rPr>
        <w:t xml:space="preserve"> £</w:t>
      </w:r>
      <w:r w:rsidR="003122A8">
        <w:rPr>
          <w:rFonts w:ascii="Verdana" w:hAnsi="Verdana" w:cs="Arial"/>
          <w:bCs/>
          <w:sz w:val="22"/>
          <w:szCs w:val="22"/>
        </w:rPr>
        <w:t>14.7</w:t>
      </w:r>
      <w:r w:rsidR="00704F42">
        <w:rPr>
          <w:rFonts w:ascii="Verdana" w:hAnsi="Verdana" w:cs="Arial"/>
          <w:bCs/>
          <w:sz w:val="22"/>
          <w:szCs w:val="22"/>
        </w:rPr>
        <w:t>8</w:t>
      </w:r>
      <w:r w:rsidR="003122A8">
        <w:rPr>
          <w:rFonts w:ascii="Verdana" w:hAnsi="Verdana" w:cs="Arial"/>
          <w:bCs/>
          <w:sz w:val="22"/>
          <w:szCs w:val="22"/>
        </w:rPr>
        <w:t>.</w:t>
      </w:r>
    </w:p>
    <w:p w14:paraId="6FB2F07E" w14:textId="77777777" w:rsidR="00D2218D" w:rsidRPr="006066DF" w:rsidRDefault="00D2218D" w:rsidP="0007325E">
      <w:pPr>
        <w:ind w:right="-579"/>
        <w:jc w:val="both"/>
        <w:rPr>
          <w:rFonts w:ascii="Verdana" w:hAnsi="Verdana" w:cs="Arial"/>
          <w:bCs/>
          <w:sz w:val="22"/>
          <w:szCs w:val="22"/>
        </w:rPr>
      </w:pPr>
    </w:p>
    <w:p w14:paraId="3EC10577" w14:textId="302117B0" w:rsidR="008244DA" w:rsidRDefault="001F5834" w:rsidP="00D2218D">
      <w:pPr>
        <w:numPr>
          <w:ilvl w:val="0"/>
          <w:numId w:val="9"/>
        </w:numPr>
        <w:tabs>
          <w:tab w:val="clear" w:pos="1080"/>
          <w:tab w:val="num" w:pos="709"/>
        </w:tabs>
        <w:spacing w:after="120"/>
        <w:ind w:left="709" w:right="-142" w:hanging="709"/>
        <w:rPr>
          <w:rFonts w:ascii="Verdana" w:hAnsi="Verdana" w:cs="Arial"/>
          <w:bCs/>
          <w:sz w:val="22"/>
          <w:szCs w:val="22"/>
        </w:rPr>
      </w:pPr>
      <w:r w:rsidRPr="006066DF">
        <w:rPr>
          <w:rFonts w:ascii="Verdana" w:hAnsi="Verdana" w:cs="Arial"/>
          <w:bCs/>
          <w:sz w:val="22"/>
          <w:szCs w:val="22"/>
        </w:rPr>
        <w:t>Benchmarked the Basic Allowance against</w:t>
      </w:r>
      <w:r w:rsidR="003C7B13" w:rsidRPr="006066DF">
        <w:rPr>
          <w:rFonts w:ascii="Verdana" w:hAnsi="Verdana" w:cs="Arial"/>
          <w:bCs/>
          <w:sz w:val="22"/>
          <w:szCs w:val="22"/>
        </w:rPr>
        <w:t xml:space="preserve"> </w:t>
      </w:r>
      <w:r w:rsidR="00E84357" w:rsidRPr="006066DF">
        <w:rPr>
          <w:rFonts w:ascii="Verdana" w:hAnsi="Verdana" w:cs="Arial"/>
          <w:bCs/>
          <w:sz w:val="22"/>
          <w:szCs w:val="22"/>
        </w:rPr>
        <w:t>a</w:t>
      </w:r>
      <w:r w:rsidRPr="006066DF">
        <w:rPr>
          <w:rFonts w:ascii="Verdana" w:hAnsi="Verdana" w:cs="Arial"/>
          <w:bCs/>
          <w:sz w:val="22"/>
          <w:szCs w:val="22"/>
        </w:rPr>
        <w:t xml:space="preserve">llowances for comparable roles paid </w:t>
      </w:r>
      <w:r w:rsidRPr="00D2218D">
        <w:rPr>
          <w:rFonts w:ascii="Verdana" w:hAnsi="Verdana" w:cs="Arial"/>
          <w:bCs/>
          <w:sz w:val="22"/>
          <w:szCs w:val="22"/>
        </w:rPr>
        <w:t xml:space="preserve">by the Chartered Institute of Public Finance and Accountancy (CIPFA) “Nearest </w:t>
      </w:r>
      <w:r w:rsidR="006066DF" w:rsidRPr="00D2218D">
        <w:rPr>
          <w:rFonts w:ascii="Verdana" w:hAnsi="Verdana" w:cs="Arial"/>
          <w:bCs/>
          <w:sz w:val="22"/>
          <w:szCs w:val="22"/>
        </w:rPr>
        <w:tab/>
      </w:r>
      <w:r w:rsidRPr="00D2218D">
        <w:rPr>
          <w:rFonts w:ascii="Verdana" w:hAnsi="Verdana" w:cs="Arial"/>
          <w:bCs/>
          <w:sz w:val="22"/>
          <w:szCs w:val="22"/>
        </w:rPr>
        <w:t>Neighbour” Councils for each authority</w:t>
      </w:r>
    </w:p>
    <w:p w14:paraId="0DFB6B18" w14:textId="77777777" w:rsidR="00C54F6C" w:rsidRPr="00C54F6C" w:rsidRDefault="00D2218D" w:rsidP="006C6FA7">
      <w:pPr>
        <w:numPr>
          <w:ilvl w:val="0"/>
          <w:numId w:val="9"/>
        </w:numPr>
        <w:tabs>
          <w:tab w:val="clear" w:pos="1080"/>
          <w:tab w:val="num" w:pos="709"/>
        </w:tabs>
        <w:spacing w:after="120"/>
        <w:ind w:left="709" w:right="-142" w:hanging="709"/>
        <w:rPr>
          <w:rFonts w:ascii="Verdana" w:hAnsi="Verdana" w:cs="Arial"/>
          <w:bCs/>
          <w:sz w:val="22"/>
          <w:szCs w:val="22"/>
        </w:rPr>
      </w:pPr>
      <w:r>
        <w:rPr>
          <w:rFonts w:ascii="Verdana" w:hAnsi="Verdana" w:cs="Arial"/>
          <w:bCs/>
          <w:sz w:val="22"/>
          <w:szCs w:val="22"/>
        </w:rPr>
        <w:t>Taken account of the National Pay Award (2.75</w:t>
      </w:r>
      <w:r w:rsidR="002F0002">
        <w:rPr>
          <w:rFonts w:ascii="Verdana" w:hAnsi="Verdana" w:cs="Arial"/>
          <w:bCs/>
          <w:sz w:val="22"/>
          <w:szCs w:val="22"/>
        </w:rPr>
        <w:t>%</w:t>
      </w:r>
      <w:r>
        <w:rPr>
          <w:rFonts w:ascii="Verdana" w:hAnsi="Verdana" w:cs="Arial"/>
          <w:bCs/>
          <w:sz w:val="22"/>
          <w:szCs w:val="22"/>
        </w:rPr>
        <w:t xml:space="preserve">) for </w:t>
      </w:r>
      <w:r w:rsidR="00C54F6C">
        <w:rPr>
          <w:rFonts w:ascii="Verdana" w:hAnsi="Verdana" w:cs="Arial"/>
          <w:bCs/>
          <w:sz w:val="22"/>
          <w:szCs w:val="22"/>
        </w:rPr>
        <w:t xml:space="preserve">the majority of Local Government </w:t>
      </w:r>
      <w:r>
        <w:rPr>
          <w:rFonts w:ascii="Verdana" w:hAnsi="Verdana" w:cs="Arial"/>
          <w:bCs/>
          <w:sz w:val="22"/>
          <w:szCs w:val="22"/>
        </w:rPr>
        <w:t xml:space="preserve">employees </w:t>
      </w:r>
    </w:p>
    <w:p w14:paraId="0148286D" w14:textId="2B99D131" w:rsidR="00D2218D" w:rsidRPr="00D2218D" w:rsidRDefault="00D2218D" w:rsidP="006C6FA7">
      <w:pPr>
        <w:numPr>
          <w:ilvl w:val="0"/>
          <w:numId w:val="9"/>
        </w:numPr>
        <w:tabs>
          <w:tab w:val="clear" w:pos="1080"/>
          <w:tab w:val="num" w:pos="709"/>
        </w:tabs>
        <w:spacing w:after="120"/>
        <w:ind w:left="709" w:right="-142" w:hanging="709"/>
        <w:rPr>
          <w:rFonts w:ascii="Verdana" w:hAnsi="Verdana" w:cs="Arial"/>
          <w:bCs/>
          <w:sz w:val="22"/>
          <w:szCs w:val="22"/>
        </w:rPr>
      </w:pPr>
      <w:r>
        <w:rPr>
          <w:rFonts w:ascii="Verdana" w:hAnsi="Verdana" w:cs="Arial"/>
          <w:bCs/>
          <w:sz w:val="22"/>
          <w:szCs w:val="22"/>
        </w:rPr>
        <w:t xml:space="preserve">Considered the Consumer Price Index information as at </w:t>
      </w:r>
      <w:r w:rsidR="0051562E">
        <w:rPr>
          <w:rFonts w:ascii="Verdana" w:hAnsi="Verdana" w:cs="Arial"/>
          <w:bCs/>
          <w:sz w:val="22"/>
          <w:szCs w:val="22"/>
        </w:rPr>
        <w:t>November</w:t>
      </w:r>
      <w:r>
        <w:rPr>
          <w:rFonts w:ascii="Verdana" w:hAnsi="Verdana" w:cs="Arial"/>
          <w:bCs/>
          <w:sz w:val="22"/>
          <w:szCs w:val="22"/>
        </w:rPr>
        <w:t xml:space="preserve"> 2020</w:t>
      </w:r>
    </w:p>
    <w:p w14:paraId="4843939F" w14:textId="77777777" w:rsidR="008244DA" w:rsidRPr="006066DF" w:rsidRDefault="008244DA" w:rsidP="008D5553">
      <w:pPr>
        <w:pStyle w:val="ColorfulList-Accent11"/>
        <w:ind w:left="0" w:right="-579"/>
        <w:rPr>
          <w:rFonts w:ascii="Verdana" w:hAnsi="Verdana" w:cs="Arial"/>
          <w:bCs/>
          <w:sz w:val="22"/>
          <w:szCs w:val="22"/>
        </w:rPr>
      </w:pPr>
    </w:p>
    <w:p w14:paraId="6383132D" w14:textId="77777777" w:rsidR="00384DCC" w:rsidRPr="006066DF" w:rsidRDefault="00384DCC" w:rsidP="00547861">
      <w:pPr>
        <w:spacing w:after="120"/>
        <w:ind w:right="-142"/>
        <w:jc w:val="both"/>
        <w:rPr>
          <w:rFonts w:ascii="Verdana" w:hAnsi="Verdana" w:cs="Arial"/>
          <w:bCs/>
          <w:sz w:val="22"/>
          <w:szCs w:val="22"/>
        </w:rPr>
      </w:pPr>
      <w:r w:rsidRPr="006066DF">
        <w:rPr>
          <w:rFonts w:ascii="Verdana" w:hAnsi="Verdana" w:cs="Arial"/>
          <w:bCs/>
          <w:sz w:val="22"/>
          <w:szCs w:val="22"/>
        </w:rPr>
        <w:t>We give more details about these areas of research at the end of the report.</w:t>
      </w:r>
    </w:p>
    <w:p w14:paraId="3683978A" w14:textId="36010357" w:rsidR="00121F76" w:rsidRPr="006066DF" w:rsidRDefault="00920DEC" w:rsidP="00547861">
      <w:pPr>
        <w:spacing w:after="120"/>
        <w:ind w:right="-142"/>
        <w:jc w:val="both"/>
        <w:rPr>
          <w:rFonts w:ascii="Verdana" w:hAnsi="Verdana" w:cs="Arial"/>
          <w:bCs/>
          <w:sz w:val="22"/>
          <w:szCs w:val="22"/>
        </w:rPr>
      </w:pPr>
      <w:r w:rsidRPr="006066DF">
        <w:rPr>
          <w:rFonts w:ascii="Verdana" w:hAnsi="Verdana" w:cs="Arial"/>
          <w:bCs/>
          <w:sz w:val="22"/>
          <w:szCs w:val="22"/>
        </w:rPr>
        <w:t>In 2015</w:t>
      </w:r>
      <w:r w:rsidR="00121F76" w:rsidRPr="006066DF">
        <w:rPr>
          <w:rFonts w:ascii="Verdana" w:hAnsi="Verdana" w:cs="Arial"/>
          <w:bCs/>
          <w:sz w:val="22"/>
          <w:szCs w:val="22"/>
        </w:rPr>
        <w:t>, Worcester City Councillors recorded time spent on Council b</w:t>
      </w:r>
      <w:r w:rsidR="00547861">
        <w:rPr>
          <w:rFonts w:ascii="Verdana" w:hAnsi="Verdana" w:cs="Arial"/>
          <w:bCs/>
          <w:sz w:val="22"/>
          <w:szCs w:val="22"/>
        </w:rPr>
        <w:t xml:space="preserve">usiness for a number of weeks. </w:t>
      </w:r>
      <w:r w:rsidR="00121F76" w:rsidRPr="006066DF">
        <w:rPr>
          <w:rFonts w:ascii="Verdana" w:hAnsi="Verdana" w:cs="Arial"/>
          <w:bCs/>
          <w:sz w:val="22"/>
          <w:szCs w:val="22"/>
        </w:rPr>
        <w:t>This enabled the Panel to confirm the number of hours per week for front line councillors</w:t>
      </w:r>
      <w:r w:rsidR="00023C05" w:rsidRPr="006066DF">
        <w:rPr>
          <w:rFonts w:ascii="Verdana" w:hAnsi="Verdana" w:cs="Arial"/>
          <w:bCs/>
          <w:sz w:val="22"/>
          <w:szCs w:val="22"/>
        </w:rPr>
        <w:t xml:space="preserve">, </w:t>
      </w:r>
      <w:r w:rsidR="00121F76" w:rsidRPr="006066DF">
        <w:rPr>
          <w:rFonts w:ascii="Verdana" w:hAnsi="Verdana" w:cs="Arial"/>
          <w:bCs/>
          <w:sz w:val="22"/>
          <w:szCs w:val="22"/>
        </w:rPr>
        <w:t>which is used to calculate t</w:t>
      </w:r>
      <w:r w:rsidR="00547861">
        <w:rPr>
          <w:rFonts w:ascii="Verdana" w:hAnsi="Verdana" w:cs="Arial"/>
          <w:bCs/>
          <w:sz w:val="22"/>
          <w:szCs w:val="22"/>
        </w:rPr>
        <w:t>he recommended basic allowance.</w:t>
      </w:r>
      <w:r w:rsidR="00121F76" w:rsidRPr="006066DF">
        <w:rPr>
          <w:rFonts w:ascii="Verdana" w:hAnsi="Verdana" w:cs="Arial"/>
          <w:bCs/>
          <w:sz w:val="22"/>
          <w:szCs w:val="22"/>
        </w:rPr>
        <w:t xml:space="preserve"> More detail is given about this under the Basic Allowance heading </w:t>
      </w:r>
      <w:r w:rsidR="00B550DD" w:rsidRPr="006066DF">
        <w:rPr>
          <w:rFonts w:ascii="Verdana" w:hAnsi="Verdana" w:cs="Arial"/>
          <w:bCs/>
          <w:sz w:val="22"/>
          <w:szCs w:val="22"/>
        </w:rPr>
        <w:t>later in the Report</w:t>
      </w:r>
      <w:r w:rsidR="00121F76" w:rsidRPr="006066DF">
        <w:rPr>
          <w:rFonts w:ascii="Verdana" w:hAnsi="Verdana" w:cs="Arial"/>
          <w:bCs/>
          <w:sz w:val="22"/>
          <w:szCs w:val="22"/>
        </w:rPr>
        <w:t>.</w:t>
      </w:r>
    </w:p>
    <w:p w14:paraId="71595C13" w14:textId="1ED63A3C" w:rsidR="00CE578A" w:rsidRPr="00D2218D" w:rsidRDefault="002B3429" w:rsidP="00547861">
      <w:pPr>
        <w:ind w:right="-142"/>
        <w:jc w:val="both"/>
        <w:rPr>
          <w:rFonts w:ascii="Verdana" w:hAnsi="Verdana" w:cs="Arial"/>
          <w:bCs/>
          <w:color w:val="FF0000"/>
          <w:sz w:val="22"/>
          <w:szCs w:val="22"/>
        </w:rPr>
      </w:pPr>
      <w:r w:rsidRPr="006066DF">
        <w:rPr>
          <w:rFonts w:ascii="Verdana" w:hAnsi="Verdana" w:cs="Arial"/>
          <w:bCs/>
          <w:sz w:val="22"/>
          <w:szCs w:val="22"/>
        </w:rPr>
        <w:t>T</w:t>
      </w:r>
      <w:r w:rsidR="0000327D" w:rsidRPr="006066DF">
        <w:rPr>
          <w:rFonts w:ascii="Verdana" w:hAnsi="Verdana" w:cs="Arial"/>
          <w:bCs/>
          <w:sz w:val="22"/>
          <w:szCs w:val="22"/>
        </w:rPr>
        <w:t xml:space="preserve">he figure being recommended by the Panel of </w:t>
      </w:r>
      <w:r w:rsidR="0000327D" w:rsidRPr="003122A8">
        <w:rPr>
          <w:rFonts w:ascii="Verdana" w:hAnsi="Verdana" w:cs="Arial"/>
          <w:bCs/>
          <w:sz w:val="22"/>
          <w:szCs w:val="22"/>
        </w:rPr>
        <w:t>£</w:t>
      </w:r>
      <w:r w:rsidR="003122A8">
        <w:rPr>
          <w:rFonts w:ascii="Verdana" w:hAnsi="Verdana" w:cs="Arial"/>
          <w:bCs/>
          <w:sz w:val="22"/>
          <w:szCs w:val="22"/>
        </w:rPr>
        <w:t>4,650</w:t>
      </w:r>
      <w:r w:rsidR="00D2218D" w:rsidRPr="003122A8">
        <w:rPr>
          <w:rFonts w:ascii="Verdana" w:hAnsi="Verdana" w:cs="Arial"/>
          <w:bCs/>
          <w:sz w:val="22"/>
          <w:szCs w:val="22"/>
        </w:rPr>
        <w:t xml:space="preserve"> </w:t>
      </w:r>
      <w:r w:rsidR="00C251E4" w:rsidRPr="006066DF">
        <w:rPr>
          <w:rFonts w:ascii="Verdana" w:hAnsi="Verdana" w:cs="Arial"/>
          <w:bCs/>
          <w:sz w:val="22"/>
          <w:szCs w:val="22"/>
        </w:rPr>
        <w:t>for the Basic Allowance</w:t>
      </w:r>
      <w:r w:rsidR="0000327D" w:rsidRPr="006066DF">
        <w:rPr>
          <w:rFonts w:ascii="Verdana" w:hAnsi="Verdana" w:cs="Arial"/>
          <w:bCs/>
          <w:sz w:val="22"/>
          <w:szCs w:val="22"/>
        </w:rPr>
        <w:t xml:space="preserve"> appear</w:t>
      </w:r>
      <w:r w:rsidR="00AA0651" w:rsidRPr="006066DF">
        <w:rPr>
          <w:rFonts w:ascii="Verdana" w:hAnsi="Verdana" w:cs="Arial"/>
          <w:bCs/>
          <w:sz w:val="22"/>
          <w:szCs w:val="22"/>
        </w:rPr>
        <w:t>s</w:t>
      </w:r>
      <w:r w:rsidR="0000327D" w:rsidRPr="006066DF">
        <w:rPr>
          <w:rFonts w:ascii="Verdana" w:hAnsi="Verdana" w:cs="Arial"/>
          <w:bCs/>
          <w:sz w:val="22"/>
          <w:szCs w:val="22"/>
        </w:rPr>
        <w:t xml:space="preserve"> reasonable</w:t>
      </w:r>
      <w:r w:rsidR="00AA0651" w:rsidRPr="006066DF">
        <w:rPr>
          <w:rFonts w:ascii="Verdana" w:hAnsi="Verdana" w:cs="Arial"/>
          <w:bCs/>
          <w:sz w:val="22"/>
          <w:szCs w:val="22"/>
        </w:rPr>
        <w:t xml:space="preserve"> and appropriate</w:t>
      </w:r>
      <w:r w:rsidR="0000327D" w:rsidRPr="006066DF">
        <w:rPr>
          <w:rFonts w:ascii="Verdana" w:hAnsi="Verdana" w:cs="Arial"/>
          <w:bCs/>
          <w:sz w:val="22"/>
          <w:szCs w:val="22"/>
        </w:rPr>
        <w:t xml:space="preserve"> when comp</w:t>
      </w:r>
      <w:r w:rsidR="00CE578A">
        <w:rPr>
          <w:rFonts w:ascii="Verdana" w:hAnsi="Verdana" w:cs="Arial"/>
          <w:bCs/>
          <w:sz w:val="22"/>
          <w:szCs w:val="22"/>
        </w:rPr>
        <w:t>ared to ot</w:t>
      </w:r>
      <w:r w:rsidR="001B0304">
        <w:rPr>
          <w:rFonts w:ascii="Verdana" w:hAnsi="Verdana" w:cs="Arial"/>
          <w:bCs/>
          <w:sz w:val="22"/>
          <w:szCs w:val="22"/>
        </w:rPr>
        <w:t>her Local Authoritie</w:t>
      </w:r>
      <w:r w:rsidR="00D2218D">
        <w:rPr>
          <w:rFonts w:ascii="Verdana" w:hAnsi="Verdana" w:cs="Arial"/>
          <w:bCs/>
          <w:sz w:val="22"/>
          <w:szCs w:val="22"/>
        </w:rPr>
        <w:t>s</w:t>
      </w:r>
      <w:r w:rsidR="00547861">
        <w:rPr>
          <w:rFonts w:ascii="Verdana" w:hAnsi="Verdana" w:cs="Arial"/>
          <w:bCs/>
          <w:sz w:val="22"/>
          <w:szCs w:val="22"/>
        </w:rPr>
        <w:t>.</w:t>
      </w:r>
    </w:p>
    <w:p w14:paraId="0C2E4808" w14:textId="77777777" w:rsidR="00807BF5" w:rsidRDefault="00807BF5" w:rsidP="00547861">
      <w:pPr>
        <w:ind w:right="-579"/>
        <w:jc w:val="both"/>
        <w:rPr>
          <w:rFonts w:ascii="Verdana" w:hAnsi="Verdana" w:cs="Arial"/>
          <w:bCs/>
          <w:sz w:val="22"/>
          <w:szCs w:val="22"/>
        </w:rPr>
      </w:pPr>
    </w:p>
    <w:p w14:paraId="668E0996" w14:textId="0A2DFA34" w:rsidR="00023C05" w:rsidRPr="006066DF" w:rsidRDefault="00B40D8B" w:rsidP="00547861">
      <w:pPr>
        <w:ind w:right="-142"/>
        <w:jc w:val="both"/>
        <w:rPr>
          <w:rFonts w:ascii="Verdana" w:hAnsi="Verdana" w:cs="Arial"/>
          <w:bCs/>
          <w:sz w:val="22"/>
          <w:szCs w:val="22"/>
        </w:rPr>
      </w:pPr>
      <w:r w:rsidRPr="006066DF">
        <w:rPr>
          <w:rFonts w:ascii="Verdana" w:hAnsi="Verdana" w:cs="Arial"/>
          <w:bCs/>
          <w:sz w:val="22"/>
          <w:szCs w:val="22"/>
        </w:rPr>
        <w:t>Arising from our research</w:t>
      </w:r>
      <w:r w:rsidR="00063383" w:rsidRPr="006066DF">
        <w:rPr>
          <w:rFonts w:ascii="Verdana" w:hAnsi="Verdana" w:cs="Arial"/>
          <w:bCs/>
          <w:sz w:val="22"/>
          <w:szCs w:val="22"/>
        </w:rPr>
        <w:t>,</w:t>
      </w:r>
      <w:r w:rsidRPr="006066DF">
        <w:rPr>
          <w:rFonts w:ascii="Verdana" w:hAnsi="Verdana" w:cs="Arial"/>
          <w:bCs/>
          <w:sz w:val="22"/>
          <w:szCs w:val="22"/>
        </w:rPr>
        <w:t xml:space="preserve"> </w:t>
      </w:r>
      <w:r w:rsidR="00613441" w:rsidRPr="006066DF">
        <w:rPr>
          <w:rFonts w:ascii="Verdana" w:hAnsi="Verdana" w:cs="Arial"/>
          <w:bCs/>
          <w:sz w:val="22"/>
          <w:szCs w:val="22"/>
        </w:rPr>
        <w:t xml:space="preserve">in </w:t>
      </w:r>
      <w:r w:rsidR="00613441" w:rsidRPr="001F1237">
        <w:rPr>
          <w:rFonts w:ascii="Verdana" w:hAnsi="Verdana" w:cs="Arial"/>
          <w:b/>
          <w:bCs/>
          <w:sz w:val="22"/>
          <w:szCs w:val="22"/>
        </w:rPr>
        <w:t>Table 1</w:t>
      </w:r>
      <w:r w:rsidR="00613441" w:rsidRPr="006066DF">
        <w:rPr>
          <w:rFonts w:ascii="Verdana" w:hAnsi="Verdana" w:cs="Arial"/>
          <w:bCs/>
          <w:sz w:val="22"/>
          <w:szCs w:val="22"/>
        </w:rPr>
        <w:t xml:space="preserve"> </w:t>
      </w:r>
      <w:r w:rsidRPr="006066DF">
        <w:rPr>
          <w:rFonts w:ascii="Verdana" w:hAnsi="Verdana" w:cs="Arial"/>
          <w:bCs/>
          <w:sz w:val="22"/>
          <w:szCs w:val="22"/>
        </w:rPr>
        <w:t xml:space="preserve">we have included information showing </w:t>
      </w:r>
      <w:r w:rsidR="001F1237">
        <w:rPr>
          <w:rFonts w:ascii="Verdana" w:hAnsi="Verdana" w:cs="Arial"/>
          <w:bCs/>
          <w:sz w:val="22"/>
          <w:szCs w:val="22"/>
        </w:rPr>
        <w:t xml:space="preserve">the </w:t>
      </w:r>
      <w:r w:rsidR="00CB74E9" w:rsidRPr="006066DF">
        <w:rPr>
          <w:rFonts w:ascii="Verdana" w:hAnsi="Verdana" w:cs="Arial"/>
          <w:bCs/>
          <w:sz w:val="22"/>
          <w:szCs w:val="22"/>
        </w:rPr>
        <w:t>M</w:t>
      </w:r>
      <w:r w:rsidR="004D1F3F" w:rsidRPr="006066DF">
        <w:rPr>
          <w:rFonts w:ascii="Verdana" w:hAnsi="Verdana" w:cs="Arial"/>
          <w:bCs/>
          <w:sz w:val="22"/>
          <w:szCs w:val="22"/>
        </w:rPr>
        <w:t>embers’</w:t>
      </w:r>
      <w:r w:rsidR="0097521D" w:rsidRPr="006066DF">
        <w:rPr>
          <w:rFonts w:ascii="Verdana" w:hAnsi="Verdana" w:cs="Arial"/>
          <w:bCs/>
          <w:sz w:val="22"/>
          <w:szCs w:val="22"/>
        </w:rPr>
        <w:t xml:space="preserve"> </w:t>
      </w:r>
      <w:r w:rsidRPr="006066DF">
        <w:rPr>
          <w:rFonts w:ascii="Verdana" w:hAnsi="Verdana" w:cs="Arial"/>
          <w:bCs/>
          <w:sz w:val="22"/>
          <w:szCs w:val="22"/>
        </w:rPr>
        <w:t>allowances budget for Basic</w:t>
      </w:r>
      <w:r w:rsidR="00384DCC" w:rsidRPr="006066DF">
        <w:rPr>
          <w:rFonts w:ascii="Verdana" w:hAnsi="Verdana" w:cs="Arial"/>
          <w:bCs/>
          <w:sz w:val="22"/>
          <w:szCs w:val="22"/>
        </w:rPr>
        <w:t xml:space="preserve"> and </w:t>
      </w:r>
      <w:r w:rsidRPr="006066DF">
        <w:rPr>
          <w:rFonts w:ascii="Verdana" w:hAnsi="Verdana" w:cs="Arial"/>
          <w:bCs/>
          <w:sz w:val="22"/>
          <w:szCs w:val="22"/>
        </w:rPr>
        <w:t>Special Responsibility</w:t>
      </w:r>
      <w:r w:rsidR="00384DCC" w:rsidRPr="006066DF">
        <w:rPr>
          <w:rFonts w:ascii="Verdana" w:hAnsi="Verdana" w:cs="Arial"/>
          <w:bCs/>
          <w:sz w:val="22"/>
          <w:szCs w:val="22"/>
        </w:rPr>
        <w:t xml:space="preserve"> </w:t>
      </w:r>
      <w:r w:rsidR="00E84357" w:rsidRPr="006066DF">
        <w:rPr>
          <w:rFonts w:ascii="Verdana" w:hAnsi="Verdana" w:cs="Arial"/>
          <w:bCs/>
          <w:sz w:val="22"/>
          <w:szCs w:val="22"/>
        </w:rPr>
        <w:t>A</w:t>
      </w:r>
      <w:r w:rsidR="00384DCC" w:rsidRPr="006066DF">
        <w:rPr>
          <w:rFonts w:ascii="Verdana" w:hAnsi="Verdana" w:cs="Arial"/>
          <w:bCs/>
          <w:sz w:val="22"/>
          <w:szCs w:val="22"/>
        </w:rPr>
        <w:t>llowances</w:t>
      </w:r>
      <w:r w:rsidR="002B3429" w:rsidRPr="006066DF">
        <w:rPr>
          <w:rFonts w:ascii="Verdana" w:hAnsi="Verdana" w:cs="Arial"/>
          <w:bCs/>
          <w:sz w:val="22"/>
          <w:szCs w:val="22"/>
        </w:rPr>
        <w:t xml:space="preserve"> paid for </w:t>
      </w:r>
      <w:r w:rsidR="002B3429" w:rsidRPr="00B05CE6">
        <w:rPr>
          <w:rFonts w:ascii="Verdana" w:hAnsi="Verdana" w:cs="Arial"/>
          <w:bCs/>
          <w:sz w:val="22"/>
          <w:szCs w:val="22"/>
        </w:rPr>
        <w:t>201</w:t>
      </w:r>
      <w:r w:rsidR="00D2218D" w:rsidRPr="00B05CE6">
        <w:rPr>
          <w:rFonts w:ascii="Verdana" w:hAnsi="Verdana" w:cs="Arial"/>
          <w:bCs/>
          <w:sz w:val="22"/>
          <w:szCs w:val="22"/>
        </w:rPr>
        <w:t>9</w:t>
      </w:r>
      <w:r w:rsidR="00C251E4" w:rsidRPr="00B05CE6">
        <w:rPr>
          <w:rFonts w:ascii="Verdana" w:hAnsi="Verdana" w:cs="Arial"/>
          <w:bCs/>
          <w:sz w:val="22"/>
          <w:szCs w:val="22"/>
        </w:rPr>
        <w:t>-</w:t>
      </w:r>
      <w:r w:rsidR="00D2218D" w:rsidRPr="00B05CE6">
        <w:rPr>
          <w:rFonts w:ascii="Verdana" w:hAnsi="Verdana" w:cs="Arial"/>
          <w:bCs/>
          <w:sz w:val="22"/>
          <w:szCs w:val="22"/>
        </w:rPr>
        <w:t>20</w:t>
      </w:r>
      <w:r w:rsidR="002B3429" w:rsidRPr="006066DF">
        <w:rPr>
          <w:rFonts w:ascii="Verdana" w:hAnsi="Verdana" w:cs="Arial"/>
          <w:bCs/>
          <w:sz w:val="22"/>
          <w:szCs w:val="22"/>
        </w:rPr>
        <w:t xml:space="preserve"> as a cost per head of population </w:t>
      </w:r>
      <w:r w:rsidR="00547861">
        <w:rPr>
          <w:rFonts w:ascii="Verdana" w:hAnsi="Verdana" w:cs="Arial"/>
          <w:bCs/>
          <w:sz w:val="22"/>
          <w:szCs w:val="22"/>
        </w:rPr>
        <w:t xml:space="preserve">for each Council. </w:t>
      </w:r>
      <w:r w:rsidR="00023C05" w:rsidRPr="006066DF">
        <w:rPr>
          <w:rFonts w:ascii="Verdana" w:hAnsi="Verdana" w:cs="Arial"/>
          <w:bCs/>
          <w:sz w:val="22"/>
          <w:szCs w:val="22"/>
        </w:rPr>
        <w:t xml:space="preserve">To give context, we have included details of the proportion of </w:t>
      </w:r>
      <w:r w:rsidR="00E76B58" w:rsidRPr="006066DF">
        <w:rPr>
          <w:rFonts w:ascii="Verdana" w:hAnsi="Verdana" w:cs="Arial"/>
          <w:bCs/>
          <w:sz w:val="22"/>
          <w:szCs w:val="22"/>
        </w:rPr>
        <w:t xml:space="preserve">net revenue budget </w:t>
      </w:r>
      <w:r w:rsidR="00023C05" w:rsidRPr="006066DF">
        <w:rPr>
          <w:rFonts w:ascii="Verdana" w:hAnsi="Verdana" w:cs="Arial"/>
          <w:bCs/>
          <w:sz w:val="22"/>
          <w:szCs w:val="22"/>
        </w:rPr>
        <w:t>spent by each Council on basic and Sp</w:t>
      </w:r>
      <w:r w:rsidR="00E76B58" w:rsidRPr="006066DF">
        <w:rPr>
          <w:rFonts w:ascii="Verdana" w:hAnsi="Verdana" w:cs="Arial"/>
          <w:bCs/>
          <w:sz w:val="22"/>
          <w:szCs w:val="22"/>
        </w:rPr>
        <w:t>ecial Responsibility allowances</w:t>
      </w:r>
      <w:r w:rsidR="00023C05" w:rsidRPr="006066DF">
        <w:rPr>
          <w:rFonts w:ascii="Verdana" w:hAnsi="Verdana" w:cs="Arial"/>
          <w:bCs/>
          <w:sz w:val="22"/>
          <w:szCs w:val="22"/>
        </w:rPr>
        <w:t>.</w:t>
      </w:r>
    </w:p>
    <w:p w14:paraId="72129F8C" w14:textId="77777777" w:rsidR="008545F4" w:rsidRPr="006066DF" w:rsidRDefault="008545F4" w:rsidP="006066DF">
      <w:pPr>
        <w:ind w:right="-579"/>
        <w:jc w:val="both"/>
        <w:rPr>
          <w:rFonts w:ascii="Verdana" w:hAnsi="Verdana" w:cs="Arial"/>
          <w:bCs/>
          <w:sz w:val="22"/>
          <w:szCs w:val="22"/>
        </w:rPr>
      </w:pPr>
    </w:p>
    <w:p w14:paraId="4F7FB8D1" w14:textId="77777777" w:rsidR="00C251E4" w:rsidRPr="006066DF" w:rsidRDefault="00C844FA" w:rsidP="006066DF">
      <w:pPr>
        <w:ind w:right="-579"/>
        <w:jc w:val="both"/>
        <w:rPr>
          <w:rFonts w:ascii="Verdana" w:hAnsi="Verdana" w:cs="Arial"/>
          <w:bCs/>
          <w:sz w:val="22"/>
          <w:szCs w:val="22"/>
        </w:rPr>
      </w:pPr>
      <w:r w:rsidRPr="006066DF">
        <w:rPr>
          <w:rFonts w:ascii="Verdana" w:hAnsi="Verdana" w:cs="Arial"/>
          <w:b/>
          <w:bCs/>
          <w:sz w:val="22"/>
          <w:szCs w:val="22"/>
        </w:rPr>
        <w:t xml:space="preserve">Table 1 - </w:t>
      </w:r>
      <w:r w:rsidR="006066DF">
        <w:rPr>
          <w:rFonts w:ascii="Verdana" w:hAnsi="Verdana" w:cs="Arial"/>
          <w:b/>
          <w:bCs/>
          <w:sz w:val="22"/>
          <w:szCs w:val="22"/>
        </w:rPr>
        <w:tab/>
      </w:r>
      <w:r w:rsidR="00C251E4" w:rsidRPr="006066DF">
        <w:rPr>
          <w:rFonts w:ascii="Verdana" w:hAnsi="Verdana" w:cs="Arial"/>
          <w:b/>
          <w:bCs/>
          <w:sz w:val="22"/>
          <w:szCs w:val="22"/>
        </w:rPr>
        <w:t>Total spend on Basic and Special Responsibility Allowances</w:t>
      </w:r>
      <w:r w:rsidR="006066DF">
        <w:rPr>
          <w:rFonts w:ascii="Verdana" w:hAnsi="Verdana" w:cs="Arial"/>
          <w:b/>
          <w:bCs/>
          <w:sz w:val="22"/>
          <w:szCs w:val="22"/>
        </w:rPr>
        <w:t xml:space="preserve"> (SRA)</w:t>
      </w:r>
      <w:r w:rsidR="00C251E4" w:rsidRPr="006066DF">
        <w:rPr>
          <w:rFonts w:ascii="Verdana" w:hAnsi="Verdana" w:cs="Arial"/>
          <w:b/>
          <w:bCs/>
          <w:sz w:val="22"/>
          <w:szCs w:val="22"/>
        </w:rPr>
        <w:t xml:space="preserve"> as </w:t>
      </w:r>
      <w:r w:rsidR="001F1237">
        <w:rPr>
          <w:rFonts w:ascii="Verdana" w:hAnsi="Verdana" w:cs="Arial"/>
          <w:b/>
          <w:bCs/>
          <w:sz w:val="22"/>
          <w:szCs w:val="22"/>
        </w:rPr>
        <w:tab/>
      </w:r>
      <w:r w:rsidR="001F1237">
        <w:rPr>
          <w:rFonts w:ascii="Verdana" w:hAnsi="Verdana" w:cs="Arial"/>
          <w:b/>
          <w:bCs/>
          <w:sz w:val="22"/>
          <w:szCs w:val="22"/>
        </w:rPr>
        <w:tab/>
      </w:r>
      <w:r w:rsidR="00D2218D">
        <w:rPr>
          <w:rFonts w:ascii="Verdana" w:hAnsi="Verdana" w:cs="Arial"/>
          <w:b/>
          <w:bCs/>
          <w:sz w:val="22"/>
          <w:szCs w:val="22"/>
        </w:rPr>
        <w:t xml:space="preserve">          </w:t>
      </w:r>
      <w:r w:rsidR="00C251E4" w:rsidRPr="006066DF">
        <w:rPr>
          <w:rFonts w:ascii="Verdana" w:hAnsi="Verdana" w:cs="Arial"/>
          <w:b/>
          <w:bCs/>
          <w:sz w:val="22"/>
          <w:szCs w:val="22"/>
        </w:rPr>
        <w:t>a cost per head of population 20</w:t>
      </w:r>
      <w:r w:rsidR="00BE097B">
        <w:rPr>
          <w:rFonts w:ascii="Verdana" w:hAnsi="Verdana" w:cs="Arial"/>
          <w:b/>
          <w:bCs/>
          <w:sz w:val="22"/>
          <w:szCs w:val="22"/>
        </w:rPr>
        <w:t>19-20</w:t>
      </w:r>
      <w:r w:rsidR="00C251E4" w:rsidRPr="006066DF">
        <w:rPr>
          <w:rFonts w:ascii="Verdana" w:hAnsi="Verdana" w:cs="Arial"/>
          <w:b/>
          <w:bCs/>
          <w:sz w:val="22"/>
          <w:szCs w:val="22"/>
        </w:rPr>
        <w:t xml:space="preserve"> figures </w:t>
      </w:r>
    </w:p>
    <w:p w14:paraId="71E2069C" w14:textId="77777777" w:rsidR="00C251E4" w:rsidRPr="006066DF" w:rsidRDefault="00C251E4" w:rsidP="006066DF">
      <w:pPr>
        <w:jc w:val="both"/>
        <w:rPr>
          <w:rFonts w:ascii="Verdana" w:hAnsi="Verdana" w:cs="Arial"/>
          <w:b/>
          <w:bCs/>
          <w:sz w:val="22"/>
          <w:szCs w:val="22"/>
          <w:highlight w:val="yellow"/>
        </w:rPr>
      </w:pP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1726"/>
        <w:gridCol w:w="1276"/>
        <w:gridCol w:w="1700"/>
        <w:gridCol w:w="1700"/>
        <w:gridCol w:w="1986"/>
      </w:tblGrid>
      <w:tr w:rsidR="0007325E" w:rsidRPr="008545F4" w14:paraId="226AC804" w14:textId="77777777" w:rsidTr="0007325E">
        <w:tc>
          <w:tcPr>
            <w:tcW w:w="831" w:type="pct"/>
          </w:tcPr>
          <w:p w14:paraId="072482F7" w14:textId="77777777" w:rsidR="00E76B58" w:rsidRPr="006066DF" w:rsidRDefault="00E76B58" w:rsidP="00F269F9">
            <w:pPr>
              <w:rPr>
                <w:rFonts w:ascii="Verdana" w:hAnsi="Verdana" w:cs="Arial"/>
                <w:b/>
                <w:bCs/>
                <w:sz w:val="22"/>
                <w:szCs w:val="22"/>
              </w:rPr>
            </w:pPr>
            <w:bookmarkStart w:id="0" w:name="_Hlk57800381"/>
            <w:r w:rsidRPr="006066DF">
              <w:rPr>
                <w:rFonts w:ascii="Verdana" w:hAnsi="Verdana" w:cs="Arial"/>
                <w:b/>
                <w:bCs/>
                <w:sz w:val="22"/>
                <w:szCs w:val="22"/>
              </w:rPr>
              <w:t>Authority, population</w:t>
            </w:r>
            <w:r w:rsidRPr="006066DF">
              <w:rPr>
                <w:rStyle w:val="FootnoteReference"/>
                <w:rFonts w:ascii="Verdana" w:hAnsi="Verdana" w:cs="Arial"/>
                <w:b/>
                <w:bCs/>
                <w:sz w:val="22"/>
                <w:szCs w:val="22"/>
              </w:rPr>
              <w:footnoteReference w:id="1"/>
            </w:r>
            <w:r w:rsidRPr="006066DF">
              <w:rPr>
                <w:rFonts w:ascii="Verdana" w:hAnsi="Verdana" w:cs="Arial"/>
                <w:b/>
                <w:bCs/>
                <w:sz w:val="22"/>
                <w:szCs w:val="22"/>
              </w:rPr>
              <w:t>and number of Councillors</w:t>
            </w:r>
          </w:p>
        </w:tc>
        <w:tc>
          <w:tcPr>
            <w:tcW w:w="858" w:type="pct"/>
          </w:tcPr>
          <w:p w14:paraId="1EC0ED9D" w14:textId="77777777" w:rsidR="006066DF" w:rsidRDefault="00E76B58" w:rsidP="007A59AB">
            <w:pPr>
              <w:rPr>
                <w:rFonts w:ascii="Verdana" w:hAnsi="Verdana" w:cs="Arial"/>
                <w:b/>
                <w:bCs/>
                <w:sz w:val="22"/>
                <w:szCs w:val="22"/>
              </w:rPr>
            </w:pPr>
            <w:r w:rsidRPr="006066DF">
              <w:rPr>
                <w:rFonts w:ascii="Verdana" w:hAnsi="Verdana" w:cs="Arial"/>
                <w:b/>
                <w:bCs/>
                <w:sz w:val="22"/>
                <w:szCs w:val="22"/>
              </w:rPr>
              <w:t xml:space="preserve">Total spend Basic Allowances </w:t>
            </w:r>
          </w:p>
          <w:p w14:paraId="6A685622" w14:textId="77777777" w:rsidR="006066DF" w:rsidRDefault="006066DF" w:rsidP="007A59AB">
            <w:pPr>
              <w:rPr>
                <w:rFonts w:ascii="Verdana" w:hAnsi="Verdana" w:cs="Arial"/>
                <w:b/>
                <w:bCs/>
                <w:sz w:val="22"/>
                <w:szCs w:val="22"/>
              </w:rPr>
            </w:pPr>
          </w:p>
          <w:p w14:paraId="3FBD35BC" w14:textId="77777777" w:rsidR="006066DF" w:rsidRDefault="006066DF" w:rsidP="007A59AB">
            <w:pPr>
              <w:rPr>
                <w:rFonts w:ascii="Verdana" w:hAnsi="Verdana" w:cs="Arial"/>
                <w:b/>
                <w:bCs/>
                <w:sz w:val="22"/>
                <w:szCs w:val="22"/>
              </w:rPr>
            </w:pPr>
          </w:p>
          <w:p w14:paraId="58C34FE7" w14:textId="77777777" w:rsidR="006066DF" w:rsidRDefault="006066DF" w:rsidP="007A59AB">
            <w:pPr>
              <w:rPr>
                <w:rFonts w:ascii="Verdana" w:hAnsi="Verdana" w:cs="Arial"/>
                <w:b/>
                <w:bCs/>
                <w:sz w:val="22"/>
                <w:szCs w:val="22"/>
              </w:rPr>
            </w:pPr>
          </w:p>
          <w:p w14:paraId="57DD2C41" w14:textId="77777777" w:rsidR="00E76B58" w:rsidRPr="006066DF" w:rsidRDefault="006066DF" w:rsidP="007A59AB">
            <w:pPr>
              <w:rPr>
                <w:rFonts w:ascii="Verdana" w:hAnsi="Verdana" w:cs="Arial"/>
                <w:b/>
                <w:bCs/>
                <w:sz w:val="22"/>
                <w:szCs w:val="22"/>
              </w:rPr>
            </w:pPr>
            <w:r>
              <w:rPr>
                <w:rFonts w:ascii="Verdana" w:hAnsi="Verdana" w:cs="Arial"/>
                <w:b/>
                <w:bCs/>
                <w:sz w:val="22"/>
                <w:szCs w:val="22"/>
              </w:rPr>
              <w:t>£</w:t>
            </w:r>
          </w:p>
        </w:tc>
        <w:tc>
          <w:tcPr>
            <w:tcW w:w="634" w:type="pct"/>
          </w:tcPr>
          <w:p w14:paraId="5AF7A390" w14:textId="77777777" w:rsidR="00E76B58" w:rsidRPr="006066DF" w:rsidRDefault="00E76B58" w:rsidP="007A59AB">
            <w:pPr>
              <w:rPr>
                <w:rFonts w:ascii="Verdana" w:hAnsi="Verdana" w:cs="Arial"/>
                <w:b/>
                <w:bCs/>
                <w:sz w:val="22"/>
                <w:szCs w:val="22"/>
              </w:rPr>
            </w:pPr>
            <w:r w:rsidRPr="006066DF">
              <w:rPr>
                <w:rFonts w:ascii="Verdana" w:hAnsi="Verdana" w:cs="Arial"/>
                <w:b/>
                <w:bCs/>
                <w:sz w:val="22"/>
                <w:szCs w:val="22"/>
              </w:rPr>
              <w:t xml:space="preserve">Total spend </w:t>
            </w:r>
          </w:p>
          <w:p w14:paraId="694A9F01" w14:textId="77777777" w:rsidR="006066DF" w:rsidRDefault="006066DF" w:rsidP="007A59AB">
            <w:pPr>
              <w:rPr>
                <w:rFonts w:ascii="Verdana" w:hAnsi="Verdana" w:cs="Arial"/>
                <w:b/>
                <w:bCs/>
                <w:sz w:val="22"/>
                <w:szCs w:val="22"/>
              </w:rPr>
            </w:pPr>
            <w:r>
              <w:rPr>
                <w:rFonts w:ascii="Verdana" w:hAnsi="Verdana" w:cs="Arial"/>
                <w:b/>
                <w:bCs/>
                <w:sz w:val="22"/>
                <w:szCs w:val="22"/>
              </w:rPr>
              <w:t>on SRA</w:t>
            </w:r>
          </w:p>
          <w:p w14:paraId="6EC2E571" w14:textId="77777777" w:rsidR="006066DF" w:rsidRDefault="006066DF" w:rsidP="007A59AB">
            <w:pPr>
              <w:rPr>
                <w:rFonts w:ascii="Verdana" w:hAnsi="Verdana" w:cs="Arial"/>
                <w:b/>
                <w:bCs/>
                <w:sz w:val="22"/>
                <w:szCs w:val="22"/>
              </w:rPr>
            </w:pPr>
          </w:p>
          <w:p w14:paraId="45E91876" w14:textId="77777777" w:rsidR="006066DF" w:rsidRDefault="006066DF" w:rsidP="007A59AB">
            <w:pPr>
              <w:rPr>
                <w:rFonts w:ascii="Verdana" w:hAnsi="Verdana" w:cs="Arial"/>
                <w:b/>
                <w:bCs/>
                <w:sz w:val="22"/>
                <w:szCs w:val="22"/>
              </w:rPr>
            </w:pPr>
          </w:p>
          <w:p w14:paraId="1A5C3CD0" w14:textId="77777777" w:rsidR="006066DF" w:rsidRDefault="006066DF" w:rsidP="007A59AB">
            <w:pPr>
              <w:rPr>
                <w:rFonts w:ascii="Verdana" w:hAnsi="Verdana" w:cs="Arial"/>
                <w:b/>
                <w:bCs/>
                <w:sz w:val="22"/>
                <w:szCs w:val="22"/>
              </w:rPr>
            </w:pPr>
          </w:p>
          <w:p w14:paraId="5F95B826" w14:textId="77777777" w:rsidR="00E76B58" w:rsidRPr="006066DF" w:rsidRDefault="006066DF" w:rsidP="007A59AB">
            <w:pPr>
              <w:rPr>
                <w:rFonts w:ascii="Verdana" w:hAnsi="Verdana" w:cs="Arial"/>
                <w:b/>
                <w:bCs/>
                <w:sz w:val="22"/>
                <w:szCs w:val="22"/>
              </w:rPr>
            </w:pPr>
            <w:r>
              <w:rPr>
                <w:rFonts w:ascii="Verdana" w:hAnsi="Verdana" w:cs="Arial"/>
                <w:b/>
                <w:bCs/>
                <w:sz w:val="22"/>
                <w:szCs w:val="22"/>
              </w:rPr>
              <w:t>£</w:t>
            </w:r>
          </w:p>
        </w:tc>
        <w:tc>
          <w:tcPr>
            <w:tcW w:w="845" w:type="pct"/>
          </w:tcPr>
          <w:p w14:paraId="0DC679AD" w14:textId="77777777" w:rsidR="006066DF" w:rsidRDefault="00E76B58" w:rsidP="007A59AB">
            <w:pPr>
              <w:rPr>
                <w:rFonts w:ascii="Verdana" w:hAnsi="Verdana" w:cs="Arial"/>
                <w:b/>
                <w:bCs/>
                <w:sz w:val="22"/>
                <w:szCs w:val="22"/>
              </w:rPr>
            </w:pPr>
            <w:r w:rsidRPr="006066DF">
              <w:rPr>
                <w:rFonts w:ascii="Verdana" w:hAnsi="Verdana" w:cs="Arial"/>
                <w:b/>
                <w:bCs/>
                <w:sz w:val="22"/>
                <w:szCs w:val="22"/>
              </w:rPr>
              <w:t>SRA as a percen</w:t>
            </w:r>
            <w:r w:rsidR="006066DF">
              <w:rPr>
                <w:rFonts w:ascii="Verdana" w:hAnsi="Verdana" w:cs="Arial"/>
                <w:b/>
                <w:bCs/>
                <w:sz w:val="22"/>
                <w:szCs w:val="22"/>
              </w:rPr>
              <w:t xml:space="preserve">tage of total Basic Allowance </w:t>
            </w:r>
          </w:p>
          <w:p w14:paraId="12369C98" w14:textId="77777777" w:rsidR="006066DF" w:rsidRDefault="006066DF" w:rsidP="007A59AB">
            <w:pPr>
              <w:rPr>
                <w:rFonts w:ascii="Verdana" w:hAnsi="Verdana" w:cs="Arial"/>
                <w:b/>
                <w:bCs/>
                <w:sz w:val="22"/>
                <w:szCs w:val="22"/>
              </w:rPr>
            </w:pPr>
          </w:p>
          <w:p w14:paraId="54223647" w14:textId="77777777" w:rsidR="00E76B58" w:rsidRPr="006066DF" w:rsidRDefault="006066DF" w:rsidP="007A59AB">
            <w:pPr>
              <w:rPr>
                <w:rFonts w:ascii="Verdana" w:hAnsi="Verdana" w:cs="Arial"/>
                <w:b/>
                <w:bCs/>
                <w:sz w:val="22"/>
                <w:szCs w:val="22"/>
              </w:rPr>
            </w:pPr>
            <w:r>
              <w:rPr>
                <w:rFonts w:ascii="Verdana" w:hAnsi="Verdana" w:cs="Arial"/>
                <w:b/>
                <w:bCs/>
                <w:sz w:val="22"/>
                <w:szCs w:val="22"/>
              </w:rPr>
              <w:t>%</w:t>
            </w:r>
          </w:p>
        </w:tc>
        <w:tc>
          <w:tcPr>
            <w:tcW w:w="845" w:type="pct"/>
          </w:tcPr>
          <w:p w14:paraId="3F893170" w14:textId="77777777" w:rsidR="006066DF" w:rsidRDefault="00E76B58" w:rsidP="007A59AB">
            <w:pPr>
              <w:rPr>
                <w:rFonts w:ascii="Verdana" w:hAnsi="Verdana" w:cs="Arial"/>
                <w:b/>
                <w:bCs/>
                <w:sz w:val="22"/>
                <w:szCs w:val="22"/>
              </w:rPr>
            </w:pPr>
            <w:r w:rsidRPr="006066DF">
              <w:rPr>
                <w:rFonts w:ascii="Verdana" w:hAnsi="Verdana" w:cs="Arial"/>
                <w:b/>
                <w:bCs/>
                <w:sz w:val="22"/>
                <w:szCs w:val="22"/>
              </w:rPr>
              <w:t xml:space="preserve">Cost of total basic and SRA per head of population </w:t>
            </w:r>
          </w:p>
          <w:p w14:paraId="0D3A61E5" w14:textId="77777777" w:rsidR="006066DF" w:rsidRDefault="006066DF" w:rsidP="007A59AB">
            <w:pPr>
              <w:rPr>
                <w:rFonts w:ascii="Verdana" w:hAnsi="Verdana" w:cs="Arial"/>
                <w:b/>
                <w:bCs/>
                <w:sz w:val="22"/>
                <w:szCs w:val="22"/>
              </w:rPr>
            </w:pPr>
          </w:p>
          <w:p w14:paraId="13CA3741" w14:textId="77777777" w:rsidR="006066DF" w:rsidRDefault="006066DF" w:rsidP="007A59AB">
            <w:pPr>
              <w:rPr>
                <w:rFonts w:ascii="Verdana" w:hAnsi="Verdana" w:cs="Arial"/>
                <w:b/>
                <w:bCs/>
                <w:sz w:val="22"/>
                <w:szCs w:val="22"/>
              </w:rPr>
            </w:pPr>
          </w:p>
          <w:p w14:paraId="4FB680C5" w14:textId="77777777" w:rsidR="00E76B58" w:rsidRPr="006066DF" w:rsidRDefault="00E76B58" w:rsidP="007A59AB">
            <w:pPr>
              <w:rPr>
                <w:rFonts w:ascii="Verdana" w:hAnsi="Verdana" w:cs="Arial"/>
                <w:b/>
                <w:bCs/>
                <w:sz w:val="22"/>
                <w:szCs w:val="22"/>
              </w:rPr>
            </w:pPr>
            <w:r w:rsidRPr="006066DF">
              <w:rPr>
                <w:rFonts w:ascii="Verdana" w:hAnsi="Verdana" w:cs="Arial"/>
                <w:b/>
                <w:bCs/>
                <w:sz w:val="22"/>
                <w:szCs w:val="22"/>
              </w:rPr>
              <w:t>£</w:t>
            </w:r>
          </w:p>
        </w:tc>
        <w:tc>
          <w:tcPr>
            <w:tcW w:w="987" w:type="pct"/>
          </w:tcPr>
          <w:p w14:paraId="2776DC56" w14:textId="77777777" w:rsidR="00E76B58" w:rsidRPr="006066DF" w:rsidRDefault="00E76B58" w:rsidP="007A59AB">
            <w:pPr>
              <w:rPr>
                <w:rFonts w:ascii="Verdana" w:hAnsi="Verdana" w:cs="Arial"/>
                <w:b/>
                <w:bCs/>
                <w:sz w:val="22"/>
                <w:szCs w:val="22"/>
              </w:rPr>
            </w:pPr>
            <w:r w:rsidRPr="006066DF">
              <w:rPr>
                <w:rFonts w:ascii="Verdana" w:hAnsi="Verdana" w:cs="Arial"/>
                <w:b/>
                <w:bCs/>
                <w:sz w:val="22"/>
                <w:szCs w:val="22"/>
              </w:rPr>
              <w:t>Total of basic and SRA as a percentage of Net General Revenue Fund expenditure</w:t>
            </w:r>
          </w:p>
          <w:p w14:paraId="15EF8FC2" w14:textId="77777777" w:rsidR="00E76B58" w:rsidRPr="006066DF" w:rsidRDefault="00E76B58" w:rsidP="007A59AB">
            <w:pPr>
              <w:rPr>
                <w:rFonts w:ascii="Verdana" w:hAnsi="Verdana" w:cs="Arial"/>
                <w:b/>
                <w:bCs/>
                <w:sz w:val="22"/>
                <w:szCs w:val="22"/>
              </w:rPr>
            </w:pPr>
            <w:r w:rsidRPr="006066DF">
              <w:rPr>
                <w:rFonts w:ascii="Verdana" w:hAnsi="Verdana" w:cs="Arial"/>
                <w:b/>
                <w:bCs/>
                <w:sz w:val="22"/>
                <w:szCs w:val="22"/>
              </w:rPr>
              <w:t>%</w:t>
            </w:r>
          </w:p>
        </w:tc>
      </w:tr>
      <w:tr w:rsidR="0007325E" w:rsidRPr="008545F4" w14:paraId="306BA04B" w14:textId="77777777" w:rsidTr="0007325E">
        <w:tc>
          <w:tcPr>
            <w:tcW w:w="831" w:type="pct"/>
          </w:tcPr>
          <w:p w14:paraId="75880051" w14:textId="77777777" w:rsidR="00E76B58" w:rsidRPr="006066DF" w:rsidRDefault="00E76B58" w:rsidP="007A59AB">
            <w:pPr>
              <w:rPr>
                <w:rFonts w:ascii="Verdana" w:hAnsi="Verdana" w:cs="Arial"/>
                <w:bCs/>
                <w:sz w:val="22"/>
                <w:szCs w:val="22"/>
              </w:rPr>
            </w:pPr>
            <w:r w:rsidRPr="006066DF">
              <w:rPr>
                <w:rFonts w:ascii="Verdana" w:hAnsi="Verdana" w:cs="Arial"/>
                <w:bCs/>
                <w:sz w:val="22"/>
                <w:szCs w:val="22"/>
              </w:rPr>
              <w:t>Bromsgrove DC (3</w:t>
            </w:r>
            <w:r w:rsidR="00920DEC" w:rsidRPr="006066DF">
              <w:rPr>
                <w:rFonts w:ascii="Verdana" w:hAnsi="Verdana" w:cs="Arial"/>
                <w:bCs/>
                <w:sz w:val="22"/>
                <w:szCs w:val="22"/>
              </w:rPr>
              <w:t>1</w:t>
            </w:r>
            <w:r w:rsidRPr="006066DF">
              <w:rPr>
                <w:rFonts w:ascii="Verdana" w:hAnsi="Verdana" w:cs="Arial"/>
                <w:bCs/>
                <w:sz w:val="22"/>
                <w:szCs w:val="22"/>
              </w:rPr>
              <w:t>)</w:t>
            </w:r>
          </w:p>
          <w:p w14:paraId="7D810C79" w14:textId="77777777" w:rsidR="006066DF" w:rsidRPr="0007325E" w:rsidRDefault="00E76B58" w:rsidP="007A59AB">
            <w:pPr>
              <w:rPr>
                <w:rFonts w:ascii="Verdana" w:hAnsi="Verdana" w:cs="Arial"/>
                <w:sz w:val="22"/>
                <w:szCs w:val="22"/>
              </w:rPr>
            </w:pPr>
            <w:r w:rsidRPr="006066DF">
              <w:rPr>
                <w:rFonts w:ascii="Verdana" w:hAnsi="Verdana" w:cs="Arial"/>
                <w:sz w:val="22"/>
                <w:szCs w:val="22"/>
              </w:rPr>
              <w:t>94,744</w:t>
            </w:r>
          </w:p>
        </w:tc>
        <w:tc>
          <w:tcPr>
            <w:tcW w:w="858" w:type="pct"/>
          </w:tcPr>
          <w:p w14:paraId="5AC87145" w14:textId="5B6460AC" w:rsidR="00E76B58" w:rsidRPr="00CC3F62" w:rsidRDefault="00CC3F62" w:rsidP="007A59AB">
            <w:pPr>
              <w:jc w:val="center"/>
              <w:rPr>
                <w:rFonts w:ascii="Verdana" w:hAnsi="Verdana" w:cs="Arial"/>
                <w:bCs/>
                <w:sz w:val="22"/>
                <w:szCs w:val="22"/>
              </w:rPr>
            </w:pPr>
            <w:r w:rsidRPr="00CC3F62">
              <w:rPr>
                <w:rFonts w:ascii="Verdana" w:hAnsi="Verdana" w:cs="Arial"/>
                <w:bCs/>
                <w:sz w:val="22"/>
                <w:szCs w:val="22"/>
              </w:rPr>
              <w:t>139,656</w:t>
            </w:r>
          </w:p>
        </w:tc>
        <w:tc>
          <w:tcPr>
            <w:tcW w:w="634" w:type="pct"/>
          </w:tcPr>
          <w:p w14:paraId="56AE52E2" w14:textId="5473F6E0" w:rsidR="00E76B58" w:rsidRPr="00CC3F62" w:rsidRDefault="00CC3F62" w:rsidP="00DF019C">
            <w:pPr>
              <w:jc w:val="center"/>
              <w:rPr>
                <w:rFonts w:ascii="Verdana" w:hAnsi="Verdana" w:cs="Arial"/>
                <w:bCs/>
                <w:sz w:val="22"/>
                <w:szCs w:val="22"/>
              </w:rPr>
            </w:pPr>
            <w:r>
              <w:rPr>
                <w:rFonts w:ascii="Verdana" w:hAnsi="Verdana" w:cs="Arial"/>
                <w:bCs/>
                <w:sz w:val="22"/>
                <w:szCs w:val="22"/>
              </w:rPr>
              <w:t>64,823</w:t>
            </w:r>
          </w:p>
        </w:tc>
        <w:tc>
          <w:tcPr>
            <w:tcW w:w="845" w:type="pct"/>
          </w:tcPr>
          <w:p w14:paraId="78AE9ABD" w14:textId="10B8BD8D" w:rsidR="00E76B58" w:rsidRPr="00CC3F62" w:rsidRDefault="00CC3F62" w:rsidP="007A59AB">
            <w:pPr>
              <w:jc w:val="center"/>
              <w:rPr>
                <w:rFonts w:ascii="Verdana" w:hAnsi="Verdana" w:cs="Arial"/>
                <w:bCs/>
                <w:sz w:val="22"/>
                <w:szCs w:val="22"/>
              </w:rPr>
            </w:pPr>
            <w:r>
              <w:rPr>
                <w:rFonts w:ascii="Verdana" w:hAnsi="Verdana" w:cs="Arial"/>
                <w:bCs/>
                <w:sz w:val="22"/>
                <w:szCs w:val="22"/>
              </w:rPr>
              <w:t>46.42</w:t>
            </w:r>
          </w:p>
        </w:tc>
        <w:tc>
          <w:tcPr>
            <w:tcW w:w="845" w:type="pct"/>
          </w:tcPr>
          <w:p w14:paraId="5D73416A" w14:textId="0548E68A" w:rsidR="00E76B58" w:rsidRPr="00CC3F62" w:rsidRDefault="00CC3F62" w:rsidP="007A59AB">
            <w:pPr>
              <w:jc w:val="center"/>
              <w:rPr>
                <w:rFonts w:ascii="Verdana" w:hAnsi="Verdana" w:cs="Arial"/>
                <w:bCs/>
                <w:sz w:val="22"/>
                <w:szCs w:val="22"/>
              </w:rPr>
            </w:pPr>
            <w:r>
              <w:rPr>
                <w:rFonts w:ascii="Verdana" w:hAnsi="Verdana" w:cs="Arial"/>
                <w:bCs/>
                <w:sz w:val="22"/>
                <w:szCs w:val="22"/>
              </w:rPr>
              <w:t>2.05</w:t>
            </w:r>
          </w:p>
        </w:tc>
        <w:tc>
          <w:tcPr>
            <w:tcW w:w="987" w:type="pct"/>
          </w:tcPr>
          <w:p w14:paraId="29A169FC" w14:textId="5807977A" w:rsidR="00E76B58" w:rsidRPr="00CC3F62" w:rsidRDefault="00CC3F62" w:rsidP="007A59AB">
            <w:pPr>
              <w:jc w:val="center"/>
              <w:rPr>
                <w:rFonts w:ascii="Verdana" w:hAnsi="Verdana" w:cs="Arial"/>
                <w:bCs/>
                <w:sz w:val="22"/>
                <w:szCs w:val="22"/>
              </w:rPr>
            </w:pPr>
            <w:r>
              <w:rPr>
                <w:rFonts w:ascii="Verdana" w:hAnsi="Verdana" w:cs="Arial"/>
                <w:bCs/>
                <w:sz w:val="22"/>
                <w:szCs w:val="22"/>
              </w:rPr>
              <w:t>1.759</w:t>
            </w:r>
          </w:p>
        </w:tc>
      </w:tr>
      <w:tr w:rsidR="0007325E" w14:paraId="13D9EAE4" w14:textId="77777777" w:rsidTr="0007325E">
        <w:tc>
          <w:tcPr>
            <w:tcW w:w="831" w:type="pct"/>
            <w:tcBorders>
              <w:top w:val="single" w:sz="4" w:space="0" w:color="auto"/>
              <w:left w:val="single" w:sz="4" w:space="0" w:color="auto"/>
              <w:bottom w:val="single" w:sz="4" w:space="0" w:color="auto"/>
              <w:right w:val="single" w:sz="4" w:space="0" w:color="auto"/>
            </w:tcBorders>
          </w:tcPr>
          <w:p w14:paraId="2BF13C7B" w14:textId="77777777" w:rsidR="001F1237" w:rsidRPr="006066DF" w:rsidRDefault="001F1237">
            <w:pPr>
              <w:rPr>
                <w:rFonts w:ascii="Verdana" w:hAnsi="Verdana" w:cs="Arial"/>
                <w:bCs/>
                <w:sz w:val="22"/>
                <w:szCs w:val="22"/>
              </w:rPr>
            </w:pPr>
            <w:r w:rsidRPr="006066DF">
              <w:rPr>
                <w:rFonts w:ascii="Verdana" w:hAnsi="Verdana" w:cs="Arial"/>
                <w:bCs/>
                <w:sz w:val="22"/>
                <w:szCs w:val="22"/>
              </w:rPr>
              <w:t>Malvern Hills DC (38)</w:t>
            </w:r>
          </w:p>
          <w:p w14:paraId="60AA0F5A" w14:textId="77777777" w:rsidR="001F1237" w:rsidRPr="006066DF" w:rsidRDefault="001F1237">
            <w:pPr>
              <w:rPr>
                <w:rFonts w:ascii="Verdana" w:hAnsi="Verdana" w:cs="Arial"/>
                <w:bCs/>
                <w:sz w:val="22"/>
                <w:szCs w:val="22"/>
              </w:rPr>
            </w:pPr>
            <w:r w:rsidRPr="006066DF">
              <w:rPr>
                <w:rFonts w:ascii="Verdana" w:hAnsi="Verdana" w:cs="Arial"/>
                <w:bCs/>
                <w:sz w:val="22"/>
                <w:szCs w:val="22"/>
              </w:rPr>
              <w:t>75,339</w:t>
            </w:r>
          </w:p>
        </w:tc>
        <w:tc>
          <w:tcPr>
            <w:tcW w:w="858" w:type="pct"/>
            <w:tcBorders>
              <w:top w:val="single" w:sz="4" w:space="0" w:color="auto"/>
              <w:left w:val="single" w:sz="4" w:space="0" w:color="auto"/>
              <w:bottom w:val="single" w:sz="4" w:space="0" w:color="auto"/>
              <w:right w:val="single" w:sz="4" w:space="0" w:color="auto"/>
            </w:tcBorders>
          </w:tcPr>
          <w:p w14:paraId="771BD346" w14:textId="030024C3" w:rsidR="001F1237" w:rsidRPr="00CC3F62" w:rsidRDefault="005B2276" w:rsidP="00547861">
            <w:pPr>
              <w:jc w:val="center"/>
              <w:rPr>
                <w:rFonts w:ascii="Verdana" w:hAnsi="Verdana" w:cs="Arial"/>
                <w:bCs/>
                <w:sz w:val="22"/>
                <w:szCs w:val="22"/>
              </w:rPr>
            </w:pPr>
            <w:r>
              <w:rPr>
                <w:rFonts w:ascii="Verdana" w:hAnsi="Verdana" w:cs="Arial"/>
                <w:bCs/>
                <w:sz w:val="22"/>
                <w:szCs w:val="22"/>
              </w:rPr>
              <w:t>164,717</w:t>
            </w:r>
          </w:p>
        </w:tc>
        <w:tc>
          <w:tcPr>
            <w:tcW w:w="634" w:type="pct"/>
            <w:tcBorders>
              <w:top w:val="single" w:sz="4" w:space="0" w:color="auto"/>
              <w:left w:val="single" w:sz="4" w:space="0" w:color="auto"/>
              <w:bottom w:val="single" w:sz="4" w:space="0" w:color="auto"/>
              <w:right w:val="single" w:sz="4" w:space="0" w:color="auto"/>
            </w:tcBorders>
          </w:tcPr>
          <w:p w14:paraId="01850DA2" w14:textId="481B12A5" w:rsidR="001F1237" w:rsidRPr="00CC3F62" w:rsidRDefault="005B2276" w:rsidP="00547861">
            <w:pPr>
              <w:jc w:val="center"/>
              <w:rPr>
                <w:rFonts w:ascii="Verdana" w:hAnsi="Verdana" w:cs="Arial"/>
                <w:bCs/>
                <w:sz w:val="22"/>
                <w:szCs w:val="22"/>
              </w:rPr>
            </w:pPr>
            <w:r>
              <w:rPr>
                <w:rFonts w:ascii="Verdana" w:hAnsi="Verdana" w:cs="Arial"/>
                <w:bCs/>
                <w:sz w:val="22"/>
                <w:szCs w:val="22"/>
              </w:rPr>
              <w:t>56,054</w:t>
            </w:r>
          </w:p>
        </w:tc>
        <w:tc>
          <w:tcPr>
            <w:tcW w:w="845" w:type="pct"/>
            <w:tcBorders>
              <w:top w:val="single" w:sz="4" w:space="0" w:color="auto"/>
              <w:left w:val="single" w:sz="4" w:space="0" w:color="auto"/>
              <w:bottom w:val="single" w:sz="4" w:space="0" w:color="auto"/>
              <w:right w:val="single" w:sz="4" w:space="0" w:color="auto"/>
            </w:tcBorders>
          </w:tcPr>
          <w:p w14:paraId="6868B439" w14:textId="242354E9" w:rsidR="001F1237" w:rsidRPr="00CC3F62" w:rsidRDefault="005B2276" w:rsidP="00547861">
            <w:pPr>
              <w:jc w:val="center"/>
              <w:rPr>
                <w:rFonts w:ascii="Verdana" w:hAnsi="Verdana" w:cs="Arial"/>
                <w:bCs/>
                <w:sz w:val="22"/>
                <w:szCs w:val="22"/>
              </w:rPr>
            </w:pPr>
            <w:r>
              <w:rPr>
                <w:rFonts w:ascii="Verdana" w:hAnsi="Verdana" w:cs="Arial"/>
                <w:bCs/>
                <w:sz w:val="22"/>
                <w:szCs w:val="22"/>
              </w:rPr>
              <w:t>34</w:t>
            </w:r>
          </w:p>
        </w:tc>
        <w:tc>
          <w:tcPr>
            <w:tcW w:w="845" w:type="pct"/>
            <w:tcBorders>
              <w:top w:val="single" w:sz="4" w:space="0" w:color="auto"/>
              <w:left w:val="single" w:sz="4" w:space="0" w:color="auto"/>
              <w:bottom w:val="single" w:sz="4" w:space="0" w:color="auto"/>
              <w:right w:val="single" w:sz="4" w:space="0" w:color="auto"/>
            </w:tcBorders>
          </w:tcPr>
          <w:p w14:paraId="13D6EDA4" w14:textId="6DF818CB" w:rsidR="001F1237" w:rsidRPr="00CC3F62" w:rsidRDefault="005B2276" w:rsidP="00547861">
            <w:pPr>
              <w:jc w:val="center"/>
              <w:rPr>
                <w:rFonts w:ascii="Verdana" w:hAnsi="Verdana" w:cs="Arial"/>
                <w:bCs/>
                <w:sz w:val="22"/>
                <w:szCs w:val="22"/>
              </w:rPr>
            </w:pPr>
            <w:r>
              <w:rPr>
                <w:rFonts w:ascii="Verdana" w:hAnsi="Verdana" w:cs="Arial"/>
                <w:bCs/>
                <w:sz w:val="22"/>
                <w:szCs w:val="22"/>
              </w:rPr>
              <w:t>2.81</w:t>
            </w:r>
          </w:p>
        </w:tc>
        <w:tc>
          <w:tcPr>
            <w:tcW w:w="987" w:type="pct"/>
            <w:tcBorders>
              <w:top w:val="single" w:sz="4" w:space="0" w:color="auto"/>
              <w:left w:val="single" w:sz="4" w:space="0" w:color="auto"/>
              <w:bottom w:val="single" w:sz="4" w:space="0" w:color="auto"/>
              <w:right w:val="single" w:sz="4" w:space="0" w:color="auto"/>
            </w:tcBorders>
          </w:tcPr>
          <w:p w14:paraId="37675FFB" w14:textId="6FC0E945" w:rsidR="001F1237" w:rsidRPr="00CC3F62" w:rsidRDefault="005B2276" w:rsidP="00547861">
            <w:pPr>
              <w:jc w:val="center"/>
              <w:rPr>
                <w:rFonts w:ascii="Verdana" w:hAnsi="Verdana" w:cs="Arial"/>
                <w:bCs/>
                <w:sz w:val="22"/>
                <w:szCs w:val="22"/>
              </w:rPr>
            </w:pPr>
            <w:r>
              <w:rPr>
                <w:rFonts w:ascii="Verdana" w:hAnsi="Verdana" w:cs="Arial"/>
                <w:bCs/>
                <w:sz w:val="22"/>
                <w:szCs w:val="22"/>
              </w:rPr>
              <w:t>2.6</w:t>
            </w:r>
          </w:p>
        </w:tc>
      </w:tr>
      <w:tr w:rsidR="0007325E" w:rsidRPr="008545F4" w14:paraId="4F206DC6" w14:textId="77777777" w:rsidTr="0007325E">
        <w:tc>
          <w:tcPr>
            <w:tcW w:w="831" w:type="pct"/>
          </w:tcPr>
          <w:p w14:paraId="2A14E3FA" w14:textId="77777777" w:rsidR="001F1237" w:rsidRPr="006066DF" w:rsidRDefault="001F1237" w:rsidP="007A59AB">
            <w:pPr>
              <w:rPr>
                <w:rFonts w:ascii="Verdana" w:hAnsi="Verdana" w:cs="Arial"/>
                <w:bCs/>
                <w:sz w:val="22"/>
                <w:szCs w:val="22"/>
              </w:rPr>
            </w:pPr>
            <w:r w:rsidRPr="006066DF">
              <w:rPr>
                <w:rFonts w:ascii="Verdana" w:hAnsi="Verdana" w:cs="Arial"/>
                <w:bCs/>
                <w:sz w:val="22"/>
                <w:szCs w:val="22"/>
              </w:rPr>
              <w:t>Redditch Borough (29)</w:t>
            </w:r>
          </w:p>
          <w:p w14:paraId="7E7ABBAB" w14:textId="77777777" w:rsidR="001F1237" w:rsidRPr="006066DF" w:rsidRDefault="001F1237" w:rsidP="007A59AB">
            <w:pPr>
              <w:rPr>
                <w:rFonts w:ascii="Verdana" w:hAnsi="Verdana" w:cs="Arial"/>
                <w:bCs/>
                <w:sz w:val="22"/>
                <w:szCs w:val="22"/>
              </w:rPr>
            </w:pPr>
            <w:r w:rsidRPr="006066DF">
              <w:rPr>
                <w:rFonts w:ascii="Verdana" w:hAnsi="Verdana" w:cs="Arial"/>
                <w:sz w:val="22"/>
                <w:szCs w:val="22"/>
              </w:rPr>
              <w:t>84,521</w:t>
            </w:r>
          </w:p>
        </w:tc>
        <w:tc>
          <w:tcPr>
            <w:tcW w:w="858" w:type="pct"/>
          </w:tcPr>
          <w:p w14:paraId="457E84C2" w14:textId="16E30A03" w:rsidR="001F1237" w:rsidRPr="00CC3F62" w:rsidRDefault="00CC3F62" w:rsidP="00547861">
            <w:pPr>
              <w:jc w:val="center"/>
              <w:rPr>
                <w:rFonts w:ascii="Verdana" w:hAnsi="Verdana" w:cs="Arial"/>
                <w:bCs/>
                <w:sz w:val="22"/>
                <w:szCs w:val="22"/>
              </w:rPr>
            </w:pPr>
            <w:r>
              <w:rPr>
                <w:rFonts w:ascii="Verdana" w:hAnsi="Verdana" w:cs="Arial"/>
                <w:bCs/>
                <w:sz w:val="22"/>
                <w:szCs w:val="22"/>
              </w:rPr>
              <w:t>126,046</w:t>
            </w:r>
          </w:p>
        </w:tc>
        <w:tc>
          <w:tcPr>
            <w:tcW w:w="634" w:type="pct"/>
          </w:tcPr>
          <w:p w14:paraId="21B7E736" w14:textId="3B619506" w:rsidR="001F1237" w:rsidRPr="00CC3F62" w:rsidRDefault="00CC3F62" w:rsidP="00547861">
            <w:pPr>
              <w:jc w:val="center"/>
              <w:rPr>
                <w:rFonts w:ascii="Verdana" w:hAnsi="Verdana" w:cs="Arial"/>
                <w:bCs/>
                <w:sz w:val="22"/>
                <w:szCs w:val="22"/>
              </w:rPr>
            </w:pPr>
            <w:r>
              <w:rPr>
                <w:rFonts w:ascii="Verdana" w:hAnsi="Verdana" w:cs="Arial"/>
                <w:bCs/>
                <w:sz w:val="22"/>
                <w:szCs w:val="22"/>
              </w:rPr>
              <w:t>88,189</w:t>
            </w:r>
          </w:p>
        </w:tc>
        <w:tc>
          <w:tcPr>
            <w:tcW w:w="845" w:type="pct"/>
          </w:tcPr>
          <w:p w14:paraId="272DC934" w14:textId="71EF6DD6" w:rsidR="001F1237" w:rsidRPr="00CC3F62" w:rsidRDefault="00CC3F62" w:rsidP="00547861">
            <w:pPr>
              <w:jc w:val="center"/>
              <w:rPr>
                <w:rFonts w:ascii="Verdana" w:hAnsi="Verdana" w:cs="Arial"/>
                <w:bCs/>
                <w:sz w:val="22"/>
                <w:szCs w:val="22"/>
              </w:rPr>
            </w:pPr>
            <w:r>
              <w:rPr>
                <w:rFonts w:ascii="Verdana" w:hAnsi="Verdana" w:cs="Arial"/>
                <w:bCs/>
                <w:sz w:val="22"/>
                <w:szCs w:val="22"/>
              </w:rPr>
              <w:t>69.96</w:t>
            </w:r>
          </w:p>
        </w:tc>
        <w:tc>
          <w:tcPr>
            <w:tcW w:w="845" w:type="pct"/>
          </w:tcPr>
          <w:p w14:paraId="228C876A" w14:textId="4BD25D52" w:rsidR="001F1237" w:rsidRPr="00CC3F62" w:rsidRDefault="00CC3F62" w:rsidP="00547861">
            <w:pPr>
              <w:jc w:val="center"/>
              <w:rPr>
                <w:rFonts w:ascii="Verdana" w:hAnsi="Verdana" w:cs="Arial"/>
                <w:bCs/>
                <w:sz w:val="22"/>
                <w:szCs w:val="22"/>
              </w:rPr>
            </w:pPr>
            <w:r>
              <w:rPr>
                <w:rFonts w:ascii="Verdana" w:hAnsi="Verdana" w:cs="Arial"/>
                <w:bCs/>
                <w:sz w:val="22"/>
                <w:szCs w:val="22"/>
              </w:rPr>
              <w:t>2.51</w:t>
            </w:r>
          </w:p>
        </w:tc>
        <w:tc>
          <w:tcPr>
            <w:tcW w:w="987" w:type="pct"/>
          </w:tcPr>
          <w:p w14:paraId="0433B7D7" w14:textId="02CE558F" w:rsidR="001F1237" w:rsidRPr="00CC3F62" w:rsidRDefault="00CC3F62" w:rsidP="00547861">
            <w:pPr>
              <w:jc w:val="center"/>
              <w:rPr>
                <w:rFonts w:ascii="Verdana" w:hAnsi="Verdana" w:cs="Arial"/>
                <w:bCs/>
                <w:sz w:val="22"/>
                <w:szCs w:val="22"/>
              </w:rPr>
            </w:pPr>
            <w:r>
              <w:rPr>
                <w:rFonts w:ascii="Verdana" w:hAnsi="Verdana" w:cs="Arial"/>
                <w:bCs/>
                <w:sz w:val="22"/>
                <w:szCs w:val="22"/>
              </w:rPr>
              <w:t>2.523</w:t>
            </w:r>
          </w:p>
        </w:tc>
      </w:tr>
      <w:tr w:rsidR="0007325E" w:rsidRPr="008545F4" w14:paraId="62E87CED" w14:textId="77777777" w:rsidTr="0007325E">
        <w:tc>
          <w:tcPr>
            <w:tcW w:w="831" w:type="pct"/>
          </w:tcPr>
          <w:p w14:paraId="2A202763" w14:textId="77777777" w:rsidR="001F1237" w:rsidRPr="006066DF" w:rsidRDefault="001F1237" w:rsidP="007A59AB">
            <w:pPr>
              <w:rPr>
                <w:rFonts w:ascii="Verdana" w:hAnsi="Verdana" w:cs="Arial"/>
                <w:bCs/>
                <w:sz w:val="22"/>
                <w:szCs w:val="22"/>
              </w:rPr>
            </w:pPr>
            <w:r w:rsidRPr="006066DF">
              <w:rPr>
                <w:rFonts w:ascii="Verdana" w:hAnsi="Verdana" w:cs="Arial"/>
                <w:bCs/>
                <w:sz w:val="22"/>
                <w:szCs w:val="22"/>
              </w:rPr>
              <w:lastRenderedPageBreak/>
              <w:t>Worcester City (35)</w:t>
            </w:r>
          </w:p>
          <w:p w14:paraId="2E93CE5E" w14:textId="77777777" w:rsidR="001F1237" w:rsidRPr="0007325E" w:rsidRDefault="001F1237" w:rsidP="007A59AB">
            <w:pPr>
              <w:rPr>
                <w:rFonts w:ascii="Verdana" w:hAnsi="Verdana" w:cs="Arial"/>
                <w:sz w:val="22"/>
                <w:szCs w:val="22"/>
              </w:rPr>
            </w:pPr>
            <w:r w:rsidRPr="006066DF">
              <w:rPr>
                <w:rFonts w:ascii="Verdana" w:hAnsi="Verdana" w:cs="Arial"/>
                <w:sz w:val="22"/>
                <w:szCs w:val="22"/>
              </w:rPr>
              <w:t>100,405</w:t>
            </w:r>
          </w:p>
        </w:tc>
        <w:tc>
          <w:tcPr>
            <w:tcW w:w="858" w:type="pct"/>
          </w:tcPr>
          <w:p w14:paraId="7760B7F9" w14:textId="28DAD0ED" w:rsidR="001F1237" w:rsidRPr="00CC3F62" w:rsidRDefault="002A2C2B" w:rsidP="00547861">
            <w:pPr>
              <w:jc w:val="center"/>
              <w:rPr>
                <w:rFonts w:ascii="Verdana" w:hAnsi="Verdana" w:cs="Arial"/>
                <w:bCs/>
                <w:sz w:val="22"/>
                <w:szCs w:val="22"/>
              </w:rPr>
            </w:pPr>
            <w:r>
              <w:rPr>
                <w:rFonts w:ascii="Verdana" w:hAnsi="Verdana" w:cs="Arial"/>
                <w:bCs/>
                <w:sz w:val="22"/>
                <w:szCs w:val="22"/>
              </w:rPr>
              <w:t>152,807</w:t>
            </w:r>
          </w:p>
        </w:tc>
        <w:tc>
          <w:tcPr>
            <w:tcW w:w="634" w:type="pct"/>
          </w:tcPr>
          <w:p w14:paraId="547EC4C4" w14:textId="25A29D25" w:rsidR="001F1237" w:rsidRPr="00CC3F62" w:rsidRDefault="002A2C2B" w:rsidP="00547861">
            <w:pPr>
              <w:jc w:val="center"/>
              <w:rPr>
                <w:rFonts w:ascii="Verdana" w:hAnsi="Verdana" w:cs="Arial"/>
                <w:bCs/>
                <w:sz w:val="22"/>
                <w:szCs w:val="22"/>
              </w:rPr>
            </w:pPr>
            <w:r>
              <w:rPr>
                <w:rFonts w:ascii="Verdana" w:hAnsi="Verdana" w:cs="Arial"/>
                <w:bCs/>
                <w:sz w:val="22"/>
                <w:szCs w:val="22"/>
              </w:rPr>
              <w:t>69,441</w:t>
            </w:r>
          </w:p>
        </w:tc>
        <w:tc>
          <w:tcPr>
            <w:tcW w:w="845" w:type="pct"/>
          </w:tcPr>
          <w:p w14:paraId="1E4F700B" w14:textId="477E54DA" w:rsidR="001F1237" w:rsidRPr="00CC3F62" w:rsidRDefault="002A2C2B" w:rsidP="00547861">
            <w:pPr>
              <w:jc w:val="center"/>
              <w:rPr>
                <w:rFonts w:ascii="Verdana" w:hAnsi="Verdana" w:cs="Arial"/>
                <w:bCs/>
                <w:sz w:val="22"/>
                <w:szCs w:val="22"/>
              </w:rPr>
            </w:pPr>
            <w:r>
              <w:rPr>
                <w:rFonts w:ascii="Verdana" w:hAnsi="Verdana" w:cs="Arial"/>
                <w:bCs/>
                <w:sz w:val="22"/>
                <w:szCs w:val="22"/>
              </w:rPr>
              <w:t>45.44</w:t>
            </w:r>
          </w:p>
        </w:tc>
        <w:tc>
          <w:tcPr>
            <w:tcW w:w="845" w:type="pct"/>
          </w:tcPr>
          <w:p w14:paraId="688A0B7E" w14:textId="2377A6ED" w:rsidR="001F1237" w:rsidRPr="00CC3F62" w:rsidRDefault="002A2C2B" w:rsidP="00547861">
            <w:pPr>
              <w:jc w:val="center"/>
              <w:rPr>
                <w:rFonts w:ascii="Verdana" w:hAnsi="Verdana" w:cs="Arial"/>
                <w:bCs/>
                <w:sz w:val="22"/>
                <w:szCs w:val="22"/>
              </w:rPr>
            </w:pPr>
            <w:r>
              <w:rPr>
                <w:rFonts w:ascii="Verdana" w:hAnsi="Verdana" w:cs="Arial"/>
                <w:bCs/>
                <w:sz w:val="22"/>
                <w:szCs w:val="22"/>
              </w:rPr>
              <w:t>2.21</w:t>
            </w:r>
          </w:p>
        </w:tc>
        <w:tc>
          <w:tcPr>
            <w:tcW w:w="987" w:type="pct"/>
          </w:tcPr>
          <w:p w14:paraId="12E7D524" w14:textId="228F9E49" w:rsidR="001F1237" w:rsidRPr="00CC3F62" w:rsidRDefault="002A2C2B" w:rsidP="00547861">
            <w:pPr>
              <w:jc w:val="center"/>
              <w:rPr>
                <w:rFonts w:ascii="Verdana" w:hAnsi="Verdana" w:cs="Arial"/>
                <w:bCs/>
                <w:sz w:val="22"/>
                <w:szCs w:val="22"/>
              </w:rPr>
            </w:pPr>
            <w:r>
              <w:rPr>
                <w:rFonts w:ascii="Verdana" w:hAnsi="Verdana" w:cs="Arial"/>
                <w:bCs/>
                <w:sz w:val="22"/>
                <w:szCs w:val="22"/>
              </w:rPr>
              <w:t>1.36</w:t>
            </w:r>
          </w:p>
        </w:tc>
      </w:tr>
      <w:tr w:rsidR="0007325E" w14:paraId="19713364" w14:textId="77777777" w:rsidTr="0007325E">
        <w:tc>
          <w:tcPr>
            <w:tcW w:w="831" w:type="pct"/>
            <w:tcBorders>
              <w:top w:val="single" w:sz="4" w:space="0" w:color="auto"/>
              <w:left w:val="single" w:sz="4" w:space="0" w:color="auto"/>
              <w:bottom w:val="single" w:sz="4" w:space="0" w:color="auto"/>
              <w:right w:val="single" w:sz="4" w:space="0" w:color="auto"/>
            </w:tcBorders>
          </w:tcPr>
          <w:p w14:paraId="0C0D6871" w14:textId="77777777" w:rsidR="001F1237" w:rsidRPr="006066DF" w:rsidRDefault="001F1237">
            <w:pPr>
              <w:rPr>
                <w:rFonts w:ascii="Verdana" w:hAnsi="Verdana" w:cs="Arial"/>
                <w:sz w:val="22"/>
                <w:szCs w:val="22"/>
              </w:rPr>
            </w:pPr>
            <w:r w:rsidRPr="006066DF">
              <w:rPr>
                <w:rFonts w:ascii="Verdana" w:hAnsi="Verdana" w:cs="Arial"/>
                <w:sz w:val="22"/>
                <w:szCs w:val="22"/>
              </w:rPr>
              <w:t>Wychavon (45)</w:t>
            </w:r>
          </w:p>
          <w:p w14:paraId="796C7071" w14:textId="77777777" w:rsidR="001F1237" w:rsidRDefault="001F1237">
            <w:pPr>
              <w:rPr>
                <w:rFonts w:ascii="Verdana" w:hAnsi="Verdana" w:cs="Arial"/>
                <w:sz w:val="22"/>
                <w:szCs w:val="22"/>
              </w:rPr>
            </w:pPr>
            <w:r w:rsidRPr="006066DF">
              <w:rPr>
                <w:rFonts w:ascii="Verdana" w:hAnsi="Verdana" w:cs="Arial"/>
                <w:sz w:val="22"/>
                <w:szCs w:val="22"/>
              </w:rPr>
              <w:t>118,738</w:t>
            </w:r>
          </w:p>
          <w:p w14:paraId="5022A47F" w14:textId="77777777" w:rsidR="001F1237" w:rsidRPr="006066DF" w:rsidRDefault="001F1237">
            <w:pPr>
              <w:rPr>
                <w:rFonts w:ascii="Verdana" w:hAnsi="Verdana" w:cs="Arial"/>
                <w:sz w:val="22"/>
                <w:szCs w:val="22"/>
              </w:rPr>
            </w:pPr>
          </w:p>
        </w:tc>
        <w:tc>
          <w:tcPr>
            <w:tcW w:w="858" w:type="pct"/>
            <w:tcBorders>
              <w:top w:val="single" w:sz="4" w:space="0" w:color="auto"/>
              <w:left w:val="single" w:sz="4" w:space="0" w:color="auto"/>
              <w:bottom w:val="single" w:sz="4" w:space="0" w:color="auto"/>
              <w:right w:val="single" w:sz="4" w:space="0" w:color="auto"/>
            </w:tcBorders>
          </w:tcPr>
          <w:p w14:paraId="5C0D894E" w14:textId="401124DA" w:rsidR="001F1237" w:rsidRPr="00CC3F62" w:rsidRDefault="00CC3F62" w:rsidP="00547861">
            <w:pPr>
              <w:jc w:val="center"/>
              <w:rPr>
                <w:rFonts w:ascii="Verdana" w:hAnsi="Verdana" w:cs="Arial"/>
                <w:bCs/>
                <w:sz w:val="22"/>
                <w:szCs w:val="22"/>
              </w:rPr>
            </w:pPr>
            <w:r>
              <w:rPr>
                <w:rFonts w:ascii="Verdana" w:hAnsi="Verdana" w:cs="Arial"/>
                <w:bCs/>
                <w:sz w:val="22"/>
                <w:szCs w:val="22"/>
              </w:rPr>
              <w:t>198,782</w:t>
            </w:r>
          </w:p>
        </w:tc>
        <w:tc>
          <w:tcPr>
            <w:tcW w:w="634" w:type="pct"/>
            <w:tcBorders>
              <w:top w:val="single" w:sz="4" w:space="0" w:color="auto"/>
              <w:left w:val="single" w:sz="4" w:space="0" w:color="auto"/>
              <w:bottom w:val="single" w:sz="4" w:space="0" w:color="auto"/>
              <w:right w:val="single" w:sz="4" w:space="0" w:color="auto"/>
            </w:tcBorders>
          </w:tcPr>
          <w:p w14:paraId="0E596821" w14:textId="0DECC879" w:rsidR="001F1237" w:rsidRPr="00CC3F62" w:rsidRDefault="00CC3F62" w:rsidP="00547861">
            <w:pPr>
              <w:jc w:val="center"/>
              <w:rPr>
                <w:rFonts w:ascii="Verdana" w:hAnsi="Verdana" w:cs="Arial"/>
                <w:bCs/>
                <w:sz w:val="22"/>
                <w:szCs w:val="22"/>
              </w:rPr>
            </w:pPr>
            <w:r>
              <w:rPr>
                <w:rFonts w:ascii="Verdana" w:hAnsi="Verdana" w:cs="Arial"/>
                <w:bCs/>
                <w:sz w:val="22"/>
                <w:szCs w:val="22"/>
              </w:rPr>
              <w:t>85,594</w:t>
            </w:r>
          </w:p>
        </w:tc>
        <w:tc>
          <w:tcPr>
            <w:tcW w:w="845" w:type="pct"/>
            <w:tcBorders>
              <w:top w:val="single" w:sz="4" w:space="0" w:color="auto"/>
              <w:left w:val="single" w:sz="4" w:space="0" w:color="auto"/>
              <w:bottom w:val="single" w:sz="4" w:space="0" w:color="auto"/>
              <w:right w:val="single" w:sz="4" w:space="0" w:color="auto"/>
            </w:tcBorders>
          </w:tcPr>
          <w:p w14:paraId="16FC77F5" w14:textId="6CC3D7C9" w:rsidR="001F1237" w:rsidRPr="00CC3F62" w:rsidRDefault="00CC3F62" w:rsidP="00547861">
            <w:pPr>
              <w:jc w:val="center"/>
              <w:rPr>
                <w:rFonts w:ascii="Verdana" w:hAnsi="Verdana" w:cs="Arial"/>
                <w:bCs/>
                <w:sz w:val="22"/>
                <w:szCs w:val="22"/>
              </w:rPr>
            </w:pPr>
            <w:r>
              <w:rPr>
                <w:rFonts w:ascii="Verdana" w:hAnsi="Verdana" w:cs="Arial"/>
                <w:bCs/>
                <w:sz w:val="22"/>
                <w:szCs w:val="22"/>
              </w:rPr>
              <w:t>43.06</w:t>
            </w:r>
          </w:p>
        </w:tc>
        <w:tc>
          <w:tcPr>
            <w:tcW w:w="845" w:type="pct"/>
            <w:tcBorders>
              <w:top w:val="single" w:sz="4" w:space="0" w:color="auto"/>
              <w:left w:val="single" w:sz="4" w:space="0" w:color="auto"/>
              <w:bottom w:val="single" w:sz="4" w:space="0" w:color="auto"/>
              <w:right w:val="single" w:sz="4" w:space="0" w:color="auto"/>
            </w:tcBorders>
          </w:tcPr>
          <w:p w14:paraId="6E92ADCB" w14:textId="4F606369" w:rsidR="001F1237" w:rsidRPr="00CC3F62" w:rsidRDefault="00CC3F62" w:rsidP="00547861">
            <w:pPr>
              <w:jc w:val="center"/>
              <w:rPr>
                <w:rFonts w:ascii="Verdana" w:hAnsi="Verdana" w:cs="Arial"/>
                <w:bCs/>
                <w:sz w:val="22"/>
                <w:szCs w:val="22"/>
              </w:rPr>
            </w:pPr>
            <w:r>
              <w:rPr>
                <w:rFonts w:ascii="Verdana" w:hAnsi="Verdana" w:cs="Arial"/>
                <w:bCs/>
                <w:sz w:val="22"/>
                <w:szCs w:val="22"/>
              </w:rPr>
              <w:t>2.23</w:t>
            </w:r>
          </w:p>
        </w:tc>
        <w:tc>
          <w:tcPr>
            <w:tcW w:w="987" w:type="pct"/>
            <w:tcBorders>
              <w:top w:val="single" w:sz="4" w:space="0" w:color="auto"/>
              <w:left w:val="single" w:sz="4" w:space="0" w:color="auto"/>
              <w:bottom w:val="single" w:sz="4" w:space="0" w:color="auto"/>
              <w:right w:val="single" w:sz="4" w:space="0" w:color="auto"/>
            </w:tcBorders>
          </w:tcPr>
          <w:p w14:paraId="0C224301" w14:textId="631F59D0" w:rsidR="001F1237" w:rsidRPr="00CC3F62" w:rsidRDefault="00CC3F62" w:rsidP="00547861">
            <w:pPr>
              <w:jc w:val="center"/>
              <w:rPr>
                <w:rFonts w:ascii="Verdana" w:hAnsi="Verdana" w:cs="Arial"/>
                <w:bCs/>
                <w:sz w:val="22"/>
                <w:szCs w:val="22"/>
              </w:rPr>
            </w:pPr>
            <w:r>
              <w:rPr>
                <w:rFonts w:ascii="Verdana" w:hAnsi="Verdana" w:cs="Arial"/>
                <w:bCs/>
                <w:sz w:val="22"/>
                <w:szCs w:val="22"/>
              </w:rPr>
              <w:t>1.77</w:t>
            </w:r>
          </w:p>
        </w:tc>
      </w:tr>
      <w:bookmarkEnd w:id="0"/>
    </w:tbl>
    <w:p w14:paraId="26CD3562" w14:textId="77777777" w:rsidR="00E84357" w:rsidRPr="00547B4E" w:rsidRDefault="00E84357" w:rsidP="0000327D">
      <w:pPr>
        <w:rPr>
          <w:rFonts w:ascii="Arial" w:hAnsi="Arial" w:cs="Arial"/>
          <w:bCs/>
          <w:sz w:val="22"/>
          <w:szCs w:val="22"/>
        </w:rPr>
      </w:pPr>
    </w:p>
    <w:p w14:paraId="2985B0F7" w14:textId="77777777" w:rsidR="00D2218D" w:rsidRPr="006066DF" w:rsidRDefault="00D2218D" w:rsidP="0007325E">
      <w:pPr>
        <w:ind w:right="-284"/>
        <w:jc w:val="both"/>
        <w:rPr>
          <w:rFonts w:ascii="Verdana" w:hAnsi="Verdana" w:cs="Arial"/>
          <w:bCs/>
          <w:sz w:val="22"/>
          <w:szCs w:val="22"/>
        </w:rPr>
      </w:pPr>
      <w:r w:rsidRPr="006066DF">
        <w:rPr>
          <w:rFonts w:ascii="Verdana" w:hAnsi="Verdana" w:cs="Arial"/>
          <w:bCs/>
          <w:sz w:val="22"/>
          <w:szCs w:val="22"/>
        </w:rPr>
        <w:t xml:space="preserve">In </w:t>
      </w:r>
      <w:r w:rsidRPr="001F1237">
        <w:rPr>
          <w:rFonts w:ascii="Verdana" w:hAnsi="Verdana" w:cs="Arial"/>
          <w:b/>
          <w:bCs/>
          <w:sz w:val="22"/>
          <w:szCs w:val="22"/>
        </w:rPr>
        <w:t>Table 2</w:t>
      </w:r>
      <w:r w:rsidRPr="006066DF">
        <w:rPr>
          <w:rFonts w:ascii="Verdana" w:hAnsi="Verdana" w:cs="Arial"/>
          <w:bCs/>
          <w:sz w:val="22"/>
          <w:szCs w:val="22"/>
        </w:rPr>
        <w:t xml:space="preserve"> we show the average payment per member of each authority of the Basic and Special Responsibility Allowances, which illustrates the balance between the level of Special Responsibility Allowances paid and the Basic Allowance. </w:t>
      </w:r>
    </w:p>
    <w:p w14:paraId="08E2CEB2" w14:textId="77777777" w:rsidR="00D2218D" w:rsidRDefault="00D2218D" w:rsidP="00547B4E">
      <w:pPr>
        <w:ind w:right="-521"/>
        <w:jc w:val="both"/>
        <w:rPr>
          <w:rFonts w:ascii="Verdana" w:hAnsi="Verdana" w:cs="Arial"/>
          <w:b/>
          <w:bCs/>
          <w:sz w:val="22"/>
          <w:szCs w:val="22"/>
        </w:rPr>
      </w:pPr>
    </w:p>
    <w:p w14:paraId="002049C6" w14:textId="77777777" w:rsidR="004D5681" w:rsidRPr="00D2218D" w:rsidRDefault="004D5681" w:rsidP="00547B4E">
      <w:pPr>
        <w:ind w:right="-521"/>
        <w:jc w:val="both"/>
        <w:rPr>
          <w:rFonts w:ascii="Verdana" w:hAnsi="Verdana" w:cs="Arial"/>
          <w:b/>
          <w:bCs/>
          <w:i/>
          <w:sz w:val="22"/>
          <w:szCs w:val="22"/>
        </w:rPr>
      </w:pPr>
      <w:r w:rsidRPr="00547B4E">
        <w:rPr>
          <w:rFonts w:ascii="Verdana" w:hAnsi="Verdana" w:cs="Arial"/>
          <w:b/>
          <w:bCs/>
          <w:sz w:val="22"/>
          <w:szCs w:val="22"/>
        </w:rPr>
        <w:t>Table</w:t>
      </w:r>
      <w:r w:rsidR="00C844FA" w:rsidRPr="00547B4E">
        <w:rPr>
          <w:rFonts w:ascii="Verdana" w:hAnsi="Verdana" w:cs="Arial"/>
          <w:b/>
          <w:bCs/>
          <w:sz w:val="22"/>
          <w:szCs w:val="22"/>
        </w:rPr>
        <w:t xml:space="preserve"> 2</w:t>
      </w:r>
      <w:r w:rsidRPr="00547B4E">
        <w:rPr>
          <w:rFonts w:ascii="Verdana" w:hAnsi="Verdana" w:cs="Arial"/>
          <w:b/>
          <w:bCs/>
          <w:sz w:val="22"/>
          <w:szCs w:val="22"/>
        </w:rPr>
        <w:t xml:space="preserve"> </w:t>
      </w:r>
      <w:r w:rsidR="00547B4E" w:rsidRPr="00547B4E">
        <w:rPr>
          <w:rFonts w:ascii="Verdana" w:hAnsi="Verdana" w:cs="Arial"/>
          <w:b/>
          <w:bCs/>
          <w:sz w:val="22"/>
          <w:szCs w:val="22"/>
        </w:rPr>
        <w:t>-</w:t>
      </w:r>
      <w:r w:rsidR="00547B4E" w:rsidRPr="00547B4E">
        <w:rPr>
          <w:rFonts w:ascii="Verdana" w:hAnsi="Verdana" w:cs="Arial"/>
          <w:b/>
          <w:bCs/>
          <w:sz w:val="22"/>
          <w:szCs w:val="22"/>
        </w:rPr>
        <w:tab/>
      </w:r>
      <w:bookmarkStart w:id="1" w:name="_Hlk57800287"/>
      <w:r w:rsidR="00547B4E" w:rsidRPr="00547B4E">
        <w:rPr>
          <w:rFonts w:ascii="Verdana" w:hAnsi="Verdana" w:cs="Arial"/>
          <w:b/>
          <w:bCs/>
          <w:sz w:val="22"/>
          <w:szCs w:val="22"/>
        </w:rPr>
        <w:t>Average</w:t>
      </w:r>
      <w:r w:rsidRPr="00547B4E">
        <w:rPr>
          <w:rFonts w:ascii="Verdana" w:hAnsi="Verdana" w:cs="Arial"/>
          <w:b/>
          <w:bCs/>
          <w:sz w:val="22"/>
          <w:szCs w:val="22"/>
        </w:rPr>
        <w:t xml:space="preserve"> allowance per </w:t>
      </w:r>
      <w:r w:rsidR="00C12F69" w:rsidRPr="00547B4E">
        <w:rPr>
          <w:rFonts w:ascii="Verdana" w:hAnsi="Verdana" w:cs="Arial"/>
          <w:b/>
          <w:bCs/>
          <w:sz w:val="22"/>
          <w:szCs w:val="22"/>
        </w:rPr>
        <w:t>M</w:t>
      </w:r>
      <w:r w:rsidRPr="00547B4E">
        <w:rPr>
          <w:rFonts w:ascii="Verdana" w:hAnsi="Verdana" w:cs="Arial"/>
          <w:b/>
          <w:bCs/>
          <w:sz w:val="22"/>
          <w:szCs w:val="22"/>
        </w:rPr>
        <w:t xml:space="preserve">ember of each authority (Basic and Special </w:t>
      </w:r>
      <w:r w:rsidR="00547B4E" w:rsidRPr="00547B4E">
        <w:rPr>
          <w:rFonts w:ascii="Verdana" w:hAnsi="Verdana" w:cs="Arial"/>
          <w:b/>
          <w:bCs/>
          <w:sz w:val="22"/>
          <w:szCs w:val="22"/>
        </w:rPr>
        <w:tab/>
      </w:r>
      <w:r w:rsidR="00547B4E" w:rsidRPr="00547B4E">
        <w:rPr>
          <w:rFonts w:ascii="Verdana" w:hAnsi="Verdana" w:cs="Arial"/>
          <w:b/>
          <w:bCs/>
          <w:sz w:val="22"/>
          <w:szCs w:val="22"/>
        </w:rPr>
        <w:tab/>
      </w:r>
      <w:r w:rsidR="00D2218D">
        <w:rPr>
          <w:rFonts w:ascii="Verdana" w:hAnsi="Verdana" w:cs="Arial"/>
          <w:b/>
          <w:bCs/>
          <w:sz w:val="22"/>
          <w:szCs w:val="22"/>
        </w:rPr>
        <w:t xml:space="preserve">          </w:t>
      </w:r>
      <w:r w:rsidRPr="00547B4E">
        <w:rPr>
          <w:rFonts w:ascii="Verdana" w:hAnsi="Verdana" w:cs="Arial"/>
          <w:b/>
          <w:bCs/>
          <w:sz w:val="22"/>
          <w:szCs w:val="22"/>
        </w:rPr>
        <w:t xml:space="preserve">Responsibility </w:t>
      </w:r>
      <w:r w:rsidR="004D1F3F" w:rsidRPr="00547B4E">
        <w:rPr>
          <w:rFonts w:ascii="Verdana" w:hAnsi="Verdana" w:cs="Arial"/>
          <w:b/>
          <w:bCs/>
          <w:sz w:val="22"/>
          <w:szCs w:val="22"/>
        </w:rPr>
        <w:t>A</w:t>
      </w:r>
      <w:r w:rsidRPr="00547B4E">
        <w:rPr>
          <w:rFonts w:ascii="Verdana" w:hAnsi="Verdana" w:cs="Arial"/>
          <w:b/>
          <w:bCs/>
          <w:sz w:val="22"/>
          <w:szCs w:val="22"/>
        </w:rPr>
        <w:t>llowances, 201</w:t>
      </w:r>
      <w:r w:rsidR="00B2108F">
        <w:rPr>
          <w:rFonts w:ascii="Verdana" w:hAnsi="Verdana" w:cs="Arial"/>
          <w:b/>
          <w:bCs/>
          <w:sz w:val="22"/>
          <w:szCs w:val="22"/>
        </w:rPr>
        <w:t>8</w:t>
      </w:r>
      <w:r w:rsidRPr="00547B4E">
        <w:rPr>
          <w:rFonts w:ascii="Verdana" w:hAnsi="Verdana" w:cs="Arial"/>
          <w:b/>
          <w:bCs/>
          <w:sz w:val="22"/>
          <w:szCs w:val="22"/>
        </w:rPr>
        <w:t xml:space="preserve"> – 1</w:t>
      </w:r>
      <w:r w:rsidR="00B2108F">
        <w:rPr>
          <w:rFonts w:ascii="Verdana" w:hAnsi="Verdana" w:cs="Arial"/>
          <w:b/>
          <w:bCs/>
          <w:sz w:val="22"/>
          <w:szCs w:val="22"/>
        </w:rPr>
        <w:t>9</w:t>
      </w:r>
      <w:r w:rsidRPr="00547B4E">
        <w:rPr>
          <w:rFonts w:ascii="Verdana" w:hAnsi="Verdana" w:cs="Arial"/>
          <w:b/>
          <w:bCs/>
          <w:sz w:val="22"/>
          <w:szCs w:val="22"/>
        </w:rPr>
        <w:t xml:space="preserve"> figures)</w:t>
      </w:r>
      <w:r w:rsidR="00BE097B">
        <w:rPr>
          <w:rFonts w:ascii="Verdana" w:hAnsi="Verdana" w:cs="Arial"/>
          <w:b/>
          <w:bCs/>
          <w:sz w:val="22"/>
          <w:szCs w:val="22"/>
        </w:rPr>
        <w:t xml:space="preserve"> </w:t>
      </w:r>
      <w:bookmarkEnd w:id="1"/>
    </w:p>
    <w:p w14:paraId="71BAF2DD" w14:textId="77777777" w:rsidR="00C2121D" w:rsidRPr="00547B4E" w:rsidRDefault="00C2121D" w:rsidP="00547B4E">
      <w:pPr>
        <w:rPr>
          <w:rFonts w:ascii="Verdana" w:hAnsi="Verdana" w:cs="Arial"/>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5706"/>
      </w:tblGrid>
      <w:tr w:rsidR="0040033A" w:rsidRPr="00547B4E" w14:paraId="31B02FCE" w14:textId="77777777" w:rsidTr="0007325E">
        <w:tc>
          <w:tcPr>
            <w:tcW w:w="4354" w:type="dxa"/>
          </w:tcPr>
          <w:p w14:paraId="2C04027F" w14:textId="77777777" w:rsidR="004D5681" w:rsidRPr="00547B4E" w:rsidRDefault="004D5681" w:rsidP="00547B4E">
            <w:pPr>
              <w:jc w:val="center"/>
              <w:rPr>
                <w:rFonts w:ascii="Verdana" w:hAnsi="Verdana" w:cs="Arial"/>
                <w:b/>
                <w:bCs/>
                <w:sz w:val="22"/>
                <w:szCs w:val="22"/>
              </w:rPr>
            </w:pPr>
            <w:bookmarkStart w:id="2" w:name="_Hlk57800474"/>
            <w:r w:rsidRPr="00547B4E">
              <w:rPr>
                <w:rFonts w:ascii="Verdana" w:hAnsi="Verdana" w:cs="Arial"/>
                <w:b/>
                <w:bCs/>
                <w:sz w:val="22"/>
                <w:szCs w:val="22"/>
              </w:rPr>
              <w:t>Authority</w:t>
            </w:r>
            <w:r w:rsidR="00D64184" w:rsidRPr="00547B4E">
              <w:rPr>
                <w:rFonts w:ascii="Verdana" w:hAnsi="Verdana" w:cs="Arial"/>
                <w:b/>
                <w:bCs/>
                <w:sz w:val="22"/>
                <w:szCs w:val="22"/>
              </w:rPr>
              <w:t xml:space="preserve"> (number of Councillors)</w:t>
            </w:r>
          </w:p>
        </w:tc>
        <w:tc>
          <w:tcPr>
            <w:tcW w:w="5706" w:type="dxa"/>
          </w:tcPr>
          <w:p w14:paraId="30E08DE4" w14:textId="77777777" w:rsidR="004D5681" w:rsidRPr="00547B4E" w:rsidRDefault="004D5681" w:rsidP="00547B4E">
            <w:pPr>
              <w:jc w:val="center"/>
              <w:rPr>
                <w:rFonts w:ascii="Verdana" w:hAnsi="Verdana" w:cs="Arial"/>
                <w:bCs/>
                <w:sz w:val="22"/>
                <w:szCs w:val="22"/>
              </w:rPr>
            </w:pPr>
            <w:r w:rsidRPr="00547B4E">
              <w:rPr>
                <w:rFonts w:ascii="Verdana" w:hAnsi="Verdana" w:cs="Arial"/>
                <w:b/>
                <w:bCs/>
                <w:sz w:val="22"/>
                <w:szCs w:val="22"/>
              </w:rPr>
              <w:t>Amount £</w:t>
            </w:r>
          </w:p>
        </w:tc>
      </w:tr>
      <w:tr w:rsidR="005B2276" w:rsidRPr="005B2276" w14:paraId="7497126D" w14:textId="77777777" w:rsidTr="0007325E">
        <w:tc>
          <w:tcPr>
            <w:tcW w:w="4354" w:type="dxa"/>
          </w:tcPr>
          <w:p w14:paraId="4F26D2B8" w14:textId="77777777" w:rsidR="004D5681" w:rsidRPr="005B2276" w:rsidRDefault="004D5681" w:rsidP="00547B4E">
            <w:pPr>
              <w:rPr>
                <w:rFonts w:ascii="Verdana" w:hAnsi="Verdana" w:cs="Arial"/>
                <w:bCs/>
                <w:sz w:val="22"/>
                <w:szCs w:val="22"/>
              </w:rPr>
            </w:pPr>
            <w:r w:rsidRPr="005B2276">
              <w:rPr>
                <w:rFonts w:ascii="Verdana" w:hAnsi="Verdana" w:cs="Arial"/>
                <w:bCs/>
                <w:sz w:val="22"/>
                <w:szCs w:val="22"/>
              </w:rPr>
              <w:t>Bromsgrove District</w:t>
            </w:r>
            <w:r w:rsidR="000C450A" w:rsidRPr="005B2276">
              <w:rPr>
                <w:rFonts w:ascii="Verdana" w:hAnsi="Verdana" w:cs="Arial"/>
                <w:bCs/>
                <w:sz w:val="22"/>
                <w:szCs w:val="22"/>
              </w:rPr>
              <w:t xml:space="preserve"> (3</w:t>
            </w:r>
            <w:r w:rsidR="00F7376C" w:rsidRPr="005B2276">
              <w:rPr>
                <w:rFonts w:ascii="Verdana" w:hAnsi="Verdana" w:cs="Arial"/>
                <w:bCs/>
                <w:sz w:val="22"/>
                <w:szCs w:val="22"/>
              </w:rPr>
              <w:t>1</w:t>
            </w:r>
            <w:r w:rsidR="0097521D" w:rsidRPr="005B2276">
              <w:rPr>
                <w:rFonts w:ascii="Verdana" w:hAnsi="Verdana" w:cs="Arial"/>
                <w:bCs/>
                <w:sz w:val="22"/>
                <w:szCs w:val="22"/>
              </w:rPr>
              <w:t>)</w:t>
            </w:r>
          </w:p>
        </w:tc>
        <w:tc>
          <w:tcPr>
            <w:tcW w:w="5706" w:type="dxa"/>
          </w:tcPr>
          <w:p w14:paraId="1F6EB15D" w14:textId="2DE4D3EF" w:rsidR="004D5681" w:rsidRPr="005B2276" w:rsidRDefault="005B2276" w:rsidP="00547B4E">
            <w:pPr>
              <w:jc w:val="center"/>
              <w:rPr>
                <w:rFonts w:ascii="Verdana" w:hAnsi="Verdana" w:cs="Arial"/>
                <w:bCs/>
                <w:sz w:val="22"/>
                <w:szCs w:val="22"/>
              </w:rPr>
            </w:pPr>
            <w:r>
              <w:rPr>
                <w:rFonts w:ascii="Verdana" w:hAnsi="Verdana" w:cs="Arial"/>
                <w:bCs/>
                <w:sz w:val="22"/>
                <w:szCs w:val="22"/>
              </w:rPr>
              <w:t>6,596</w:t>
            </w:r>
          </w:p>
        </w:tc>
      </w:tr>
      <w:tr w:rsidR="005B2276" w:rsidRPr="005B2276" w14:paraId="1401E11D" w14:textId="77777777" w:rsidTr="0007325E">
        <w:tc>
          <w:tcPr>
            <w:tcW w:w="4354" w:type="dxa"/>
          </w:tcPr>
          <w:p w14:paraId="62AAD10A" w14:textId="77777777" w:rsidR="004D5681" w:rsidRPr="005B2276" w:rsidRDefault="004D5681" w:rsidP="0000327D">
            <w:pPr>
              <w:rPr>
                <w:rFonts w:ascii="Verdana" w:hAnsi="Verdana" w:cs="Arial"/>
                <w:bCs/>
                <w:sz w:val="22"/>
                <w:szCs w:val="22"/>
              </w:rPr>
            </w:pPr>
            <w:r w:rsidRPr="005B2276">
              <w:rPr>
                <w:rFonts w:ascii="Verdana" w:hAnsi="Verdana" w:cs="Arial"/>
                <w:bCs/>
                <w:sz w:val="22"/>
                <w:szCs w:val="22"/>
              </w:rPr>
              <w:t>Malvern Hills District</w:t>
            </w:r>
            <w:r w:rsidR="0097521D" w:rsidRPr="005B2276">
              <w:rPr>
                <w:rFonts w:ascii="Verdana" w:hAnsi="Verdana" w:cs="Arial"/>
                <w:bCs/>
                <w:sz w:val="22"/>
                <w:szCs w:val="22"/>
              </w:rPr>
              <w:t xml:space="preserve"> (38)</w:t>
            </w:r>
          </w:p>
        </w:tc>
        <w:tc>
          <w:tcPr>
            <w:tcW w:w="5706" w:type="dxa"/>
          </w:tcPr>
          <w:p w14:paraId="4E2246C5" w14:textId="1DB9CFE8" w:rsidR="004D5681" w:rsidRPr="005B2276" w:rsidRDefault="005B2276" w:rsidP="00C050F4">
            <w:pPr>
              <w:jc w:val="center"/>
              <w:rPr>
                <w:rFonts w:ascii="Verdana" w:hAnsi="Verdana" w:cs="Arial"/>
                <w:bCs/>
                <w:sz w:val="22"/>
                <w:szCs w:val="22"/>
              </w:rPr>
            </w:pPr>
            <w:r>
              <w:rPr>
                <w:rFonts w:ascii="Verdana" w:hAnsi="Verdana" w:cs="Arial"/>
                <w:bCs/>
                <w:sz w:val="22"/>
                <w:szCs w:val="22"/>
              </w:rPr>
              <w:t>5,810</w:t>
            </w:r>
          </w:p>
        </w:tc>
      </w:tr>
      <w:tr w:rsidR="005B2276" w:rsidRPr="005B2276" w14:paraId="32CDE3F6" w14:textId="77777777" w:rsidTr="0007325E">
        <w:tc>
          <w:tcPr>
            <w:tcW w:w="4354" w:type="dxa"/>
          </w:tcPr>
          <w:p w14:paraId="2725DE71" w14:textId="77777777" w:rsidR="004D5681" w:rsidRPr="005B2276" w:rsidRDefault="004D5681" w:rsidP="0000327D">
            <w:pPr>
              <w:rPr>
                <w:rFonts w:ascii="Verdana" w:hAnsi="Verdana" w:cs="Arial"/>
                <w:bCs/>
                <w:sz w:val="22"/>
                <w:szCs w:val="22"/>
              </w:rPr>
            </w:pPr>
            <w:r w:rsidRPr="005B2276">
              <w:rPr>
                <w:rFonts w:ascii="Verdana" w:hAnsi="Verdana" w:cs="Arial"/>
                <w:bCs/>
                <w:sz w:val="22"/>
                <w:szCs w:val="22"/>
              </w:rPr>
              <w:t>Redditch Borough</w:t>
            </w:r>
            <w:r w:rsidR="0097521D" w:rsidRPr="005B2276">
              <w:rPr>
                <w:rFonts w:ascii="Verdana" w:hAnsi="Verdana" w:cs="Arial"/>
                <w:bCs/>
                <w:sz w:val="22"/>
                <w:szCs w:val="22"/>
              </w:rPr>
              <w:t xml:space="preserve"> (29)</w:t>
            </w:r>
          </w:p>
        </w:tc>
        <w:tc>
          <w:tcPr>
            <w:tcW w:w="5706" w:type="dxa"/>
          </w:tcPr>
          <w:p w14:paraId="72D364C6" w14:textId="6F33D8BE" w:rsidR="004D5681" w:rsidRPr="005B2276" w:rsidRDefault="005B2276" w:rsidP="00282AED">
            <w:pPr>
              <w:jc w:val="center"/>
              <w:rPr>
                <w:rFonts w:ascii="Verdana" w:hAnsi="Verdana" w:cs="Arial"/>
                <w:bCs/>
                <w:sz w:val="22"/>
                <w:szCs w:val="22"/>
              </w:rPr>
            </w:pPr>
            <w:r>
              <w:rPr>
                <w:rFonts w:ascii="Verdana" w:hAnsi="Verdana" w:cs="Arial"/>
                <w:bCs/>
                <w:sz w:val="22"/>
                <w:szCs w:val="22"/>
              </w:rPr>
              <w:t>7,387</w:t>
            </w:r>
          </w:p>
        </w:tc>
      </w:tr>
      <w:tr w:rsidR="005B2276" w:rsidRPr="005B2276" w14:paraId="0E8469EB" w14:textId="77777777" w:rsidTr="0007325E">
        <w:tc>
          <w:tcPr>
            <w:tcW w:w="4354" w:type="dxa"/>
          </w:tcPr>
          <w:p w14:paraId="1FAF1ABA" w14:textId="77777777" w:rsidR="004D5681" w:rsidRPr="005B2276" w:rsidRDefault="004D5681" w:rsidP="0000327D">
            <w:pPr>
              <w:rPr>
                <w:rFonts w:ascii="Verdana" w:hAnsi="Verdana" w:cs="Arial"/>
                <w:bCs/>
                <w:sz w:val="22"/>
                <w:szCs w:val="22"/>
              </w:rPr>
            </w:pPr>
            <w:r w:rsidRPr="005B2276">
              <w:rPr>
                <w:rFonts w:ascii="Verdana" w:hAnsi="Verdana" w:cs="Arial"/>
                <w:bCs/>
                <w:sz w:val="22"/>
                <w:szCs w:val="22"/>
              </w:rPr>
              <w:t>Worcester City</w:t>
            </w:r>
            <w:r w:rsidR="0097521D" w:rsidRPr="005B2276">
              <w:rPr>
                <w:rFonts w:ascii="Verdana" w:hAnsi="Verdana" w:cs="Arial"/>
                <w:bCs/>
                <w:sz w:val="22"/>
                <w:szCs w:val="22"/>
              </w:rPr>
              <w:t xml:space="preserve"> (35)</w:t>
            </w:r>
          </w:p>
        </w:tc>
        <w:tc>
          <w:tcPr>
            <w:tcW w:w="5706" w:type="dxa"/>
          </w:tcPr>
          <w:p w14:paraId="1BA11A8E" w14:textId="164A3123" w:rsidR="004D5681" w:rsidRPr="005B2276" w:rsidRDefault="002A2C2B" w:rsidP="00C050F4">
            <w:pPr>
              <w:jc w:val="center"/>
              <w:rPr>
                <w:rFonts w:ascii="Verdana" w:hAnsi="Verdana" w:cs="Arial"/>
                <w:bCs/>
                <w:sz w:val="22"/>
                <w:szCs w:val="22"/>
              </w:rPr>
            </w:pPr>
            <w:r>
              <w:rPr>
                <w:rFonts w:ascii="Verdana" w:hAnsi="Verdana" w:cs="Arial"/>
                <w:bCs/>
                <w:sz w:val="22"/>
                <w:szCs w:val="22"/>
              </w:rPr>
              <w:t>6,349</w:t>
            </w:r>
          </w:p>
        </w:tc>
      </w:tr>
      <w:tr w:rsidR="0040033A" w:rsidRPr="005B2276" w14:paraId="2DA2B466" w14:textId="77777777" w:rsidTr="0007325E">
        <w:tc>
          <w:tcPr>
            <w:tcW w:w="4354" w:type="dxa"/>
          </w:tcPr>
          <w:p w14:paraId="08E015EB" w14:textId="77777777" w:rsidR="004D5681" w:rsidRPr="005B2276" w:rsidRDefault="004D5681" w:rsidP="0000327D">
            <w:pPr>
              <w:rPr>
                <w:rFonts w:ascii="Verdana" w:hAnsi="Verdana" w:cs="Arial"/>
                <w:bCs/>
                <w:sz w:val="22"/>
                <w:szCs w:val="22"/>
              </w:rPr>
            </w:pPr>
            <w:r w:rsidRPr="005B2276">
              <w:rPr>
                <w:rFonts w:ascii="Verdana" w:hAnsi="Verdana" w:cs="Arial"/>
                <w:bCs/>
                <w:sz w:val="22"/>
                <w:szCs w:val="22"/>
              </w:rPr>
              <w:t>Wychavon District</w:t>
            </w:r>
            <w:r w:rsidR="0097521D" w:rsidRPr="005B2276">
              <w:rPr>
                <w:rFonts w:ascii="Verdana" w:hAnsi="Verdana" w:cs="Arial"/>
                <w:bCs/>
                <w:sz w:val="22"/>
                <w:szCs w:val="22"/>
              </w:rPr>
              <w:t xml:space="preserve"> (45)</w:t>
            </w:r>
          </w:p>
        </w:tc>
        <w:tc>
          <w:tcPr>
            <w:tcW w:w="5706" w:type="dxa"/>
          </w:tcPr>
          <w:p w14:paraId="17B59F08" w14:textId="599032D0" w:rsidR="004D5681" w:rsidRPr="005B2276" w:rsidRDefault="00152C98" w:rsidP="00C050F4">
            <w:pPr>
              <w:jc w:val="center"/>
              <w:rPr>
                <w:rFonts w:ascii="Verdana" w:hAnsi="Verdana" w:cs="Arial"/>
                <w:bCs/>
                <w:sz w:val="22"/>
                <w:szCs w:val="22"/>
              </w:rPr>
            </w:pPr>
            <w:r>
              <w:rPr>
                <w:rFonts w:ascii="Verdana" w:hAnsi="Verdana" w:cs="Arial"/>
                <w:bCs/>
                <w:sz w:val="22"/>
                <w:szCs w:val="22"/>
              </w:rPr>
              <w:t>6,319</w:t>
            </w:r>
          </w:p>
        </w:tc>
      </w:tr>
      <w:bookmarkEnd w:id="2"/>
    </w:tbl>
    <w:p w14:paraId="55EF7343" w14:textId="77777777" w:rsidR="008545F4" w:rsidRPr="005B2276" w:rsidRDefault="008545F4" w:rsidP="0064234D">
      <w:pPr>
        <w:ind w:left="-851" w:right="-521"/>
        <w:rPr>
          <w:rFonts w:ascii="Verdana" w:hAnsi="Verdana" w:cs="Arial"/>
          <w:bCs/>
          <w:sz w:val="22"/>
          <w:szCs w:val="22"/>
        </w:rPr>
      </w:pPr>
    </w:p>
    <w:p w14:paraId="5E25B2BF" w14:textId="18CD8085" w:rsidR="00EA795F" w:rsidRPr="00FB1324" w:rsidRDefault="00EA795F" w:rsidP="00FB1324">
      <w:pPr>
        <w:ind w:right="-521"/>
        <w:rPr>
          <w:rFonts w:ascii="Verdana" w:hAnsi="Verdana" w:cs="Arial"/>
          <w:b/>
          <w:sz w:val="22"/>
          <w:szCs w:val="22"/>
          <w:u w:val="single"/>
        </w:rPr>
      </w:pPr>
      <w:r w:rsidRPr="00FB1324">
        <w:rPr>
          <w:rFonts w:ascii="Verdana" w:hAnsi="Verdana" w:cs="Arial"/>
          <w:b/>
          <w:sz w:val="22"/>
          <w:szCs w:val="22"/>
          <w:u w:val="single"/>
        </w:rPr>
        <w:t xml:space="preserve">Basic </w:t>
      </w:r>
      <w:r w:rsidR="00B2108F">
        <w:rPr>
          <w:rFonts w:ascii="Verdana" w:hAnsi="Verdana" w:cs="Arial"/>
          <w:b/>
          <w:sz w:val="22"/>
          <w:szCs w:val="22"/>
          <w:u w:val="single"/>
        </w:rPr>
        <w:t>Allowance 202</w:t>
      </w:r>
      <w:r w:rsidR="002A2C2B">
        <w:rPr>
          <w:rFonts w:ascii="Verdana" w:hAnsi="Verdana" w:cs="Arial"/>
          <w:b/>
          <w:sz w:val="22"/>
          <w:szCs w:val="22"/>
          <w:u w:val="single"/>
        </w:rPr>
        <w:t>1</w:t>
      </w:r>
      <w:r w:rsidR="002A1982" w:rsidRPr="00FB1324">
        <w:rPr>
          <w:rFonts w:ascii="Verdana" w:hAnsi="Verdana" w:cs="Arial"/>
          <w:b/>
          <w:sz w:val="22"/>
          <w:szCs w:val="22"/>
          <w:u w:val="single"/>
        </w:rPr>
        <w:t xml:space="preserve"> - </w:t>
      </w:r>
      <w:r w:rsidR="00B2108F">
        <w:rPr>
          <w:rFonts w:ascii="Verdana" w:hAnsi="Verdana" w:cs="Arial"/>
          <w:b/>
          <w:sz w:val="22"/>
          <w:szCs w:val="22"/>
          <w:u w:val="single"/>
        </w:rPr>
        <w:t>2</w:t>
      </w:r>
      <w:r w:rsidR="002A2C2B">
        <w:rPr>
          <w:rFonts w:ascii="Verdana" w:hAnsi="Verdana" w:cs="Arial"/>
          <w:b/>
          <w:sz w:val="22"/>
          <w:szCs w:val="22"/>
          <w:u w:val="single"/>
        </w:rPr>
        <w:t>2</w:t>
      </w:r>
    </w:p>
    <w:p w14:paraId="67472852" w14:textId="77777777" w:rsidR="00EA795F" w:rsidRPr="00FB1324" w:rsidRDefault="00EA795F" w:rsidP="00FB1324">
      <w:pPr>
        <w:tabs>
          <w:tab w:val="num" w:pos="0"/>
        </w:tabs>
        <w:ind w:right="-521"/>
        <w:rPr>
          <w:rFonts w:ascii="Verdana" w:hAnsi="Verdana" w:cs="Arial"/>
          <w:b/>
          <w:sz w:val="22"/>
          <w:szCs w:val="22"/>
        </w:rPr>
      </w:pPr>
    </w:p>
    <w:p w14:paraId="2FE2B0F3" w14:textId="77777777" w:rsidR="00EA795F" w:rsidRPr="00FB1324" w:rsidRDefault="00EA795F" w:rsidP="00FB1324">
      <w:pPr>
        <w:tabs>
          <w:tab w:val="num" w:pos="0"/>
        </w:tabs>
        <w:ind w:right="-521"/>
        <w:rPr>
          <w:rFonts w:ascii="Verdana" w:hAnsi="Verdana" w:cs="Arial"/>
          <w:b/>
          <w:sz w:val="22"/>
          <w:szCs w:val="22"/>
        </w:rPr>
      </w:pPr>
      <w:r w:rsidRPr="00FB1324">
        <w:rPr>
          <w:rFonts w:ascii="Verdana" w:hAnsi="Verdana" w:cs="Arial"/>
          <w:b/>
          <w:sz w:val="22"/>
          <w:szCs w:val="22"/>
        </w:rPr>
        <w:t>Calculation of Basic Allowance</w:t>
      </w:r>
    </w:p>
    <w:p w14:paraId="26AB27FB" w14:textId="77777777" w:rsidR="00EA795F" w:rsidRPr="00FB1324" w:rsidRDefault="00EA795F" w:rsidP="00FB1324">
      <w:pPr>
        <w:tabs>
          <w:tab w:val="num" w:pos="0"/>
        </w:tabs>
        <w:ind w:right="-521"/>
        <w:rPr>
          <w:rFonts w:ascii="Verdana" w:hAnsi="Verdana" w:cs="Arial"/>
          <w:b/>
          <w:sz w:val="22"/>
          <w:szCs w:val="22"/>
        </w:rPr>
      </w:pPr>
    </w:p>
    <w:p w14:paraId="0F298986" w14:textId="77777777" w:rsidR="00EA795F" w:rsidRPr="00FB1324" w:rsidRDefault="00EA795F" w:rsidP="00FB1324">
      <w:pPr>
        <w:tabs>
          <w:tab w:val="num" w:pos="0"/>
        </w:tabs>
        <w:ind w:right="-521"/>
        <w:rPr>
          <w:rFonts w:ascii="Verdana" w:hAnsi="Verdana" w:cs="Arial"/>
          <w:bCs/>
          <w:sz w:val="22"/>
          <w:szCs w:val="22"/>
        </w:rPr>
      </w:pPr>
      <w:r w:rsidRPr="00FB1324">
        <w:rPr>
          <w:rFonts w:ascii="Verdana" w:hAnsi="Verdana" w:cs="Arial"/>
          <w:sz w:val="22"/>
          <w:szCs w:val="22"/>
        </w:rPr>
        <w:t xml:space="preserve">The Basic Allowance </w:t>
      </w:r>
      <w:r w:rsidRPr="00FB1324">
        <w:rPr>
          <w:rFonts w:ascii="Verdana" w:hAnsi="Verdana" w:cs="Arial"/>
          <w:bCs/>
          <w:sz w:val="22"/>
          <w:szCs w:val="22"/>
        </w:rPr>
        <w:t>is based on:</w:t>
      </w:r>
    </w:p>
    <w:p w14:paraId="478D9C24" w14:textId="77777777" w:rsidR="00EA795F" w:rsidRPr="00FB1324" w:rsidRDefault="00EA795F" w:rsidP="00547861">
      <w:pPr>
        <w:tabs>
          <w:tab w:val="num" w:pos="0"/>
          <w:tab w:val="left" w:pos="284"/>
        </w:tabs>
        <w:ind w:right="-521"/>
        <w:rPr>
          <w:rFonts w:ascii="Verdana" w:hAnsi="Verdana" w:cs="Arial"/>
          <w:bCs/>
          <w:sz w:val="22"/>
          <w:szCs w:val="22"/>
        </w:rPr>
      </w:pPr>
    </w:p>
    <w:p w14:paraId="2CF329FB" w14:textId="3710E1B7" w:rsidR="00547861" w:rsidRDefault="00EA795F" w:rsidP="00547861">
      <w:pPr>
        <w:numPr>
          <w:ilvl w:val="0"/>
          <w:numId w:val="3"/>
        </w:numPr>
        <w:tabs>
          <w:tab w:val="left" w:pos="284"/>
        </w:tabs>
        <w:spacing w:after="120"/>
        <w:ind w:left="0" w:right="-521" w:firstLine="0"/>
        <w:rPr>
          <w:rFonts w:ascii="Verdana" w:hAnsi="Verdana" w:cs="Arial"/>
          <w:bCs/>
          <w:sz w:val="22"/>
          <w:szCs w:val="22"/>
        </w:rPr>
      </w:pPr>
      <w:r w:rsidRPr="00FB1324">
        <w:rPr>
          <w:rFonts w:ascii="Verdana" w:hAnsi="Verdana" w:cs="Arial"/>
          <w:bCs/>
          <w:sz w:val="22"/>
          <w:szCs w:val="22"/>
        </w:rPr>
        <w:t>The roles and respo</w:t>
      </w:r>
      <w:r w:rsidR="006408D3">
        <w:rPr>
          <w:rFonts w:ascii="Verdana" w:hAnsi="Verdana" w:cs="Arial"/>
          <w:bCs/>
          <w:sz w:val="22"/>
          <w:szCs w:val="22"/>
        </w:rPr>
        <w:t>nsibilities of Members</w:t>
      </w:r>
    </w:p>
    <w:p w14:paraId="0B3F5390" w14:textId="5A0A3FA8" w:rsidR="00547861" w:rsidRPr="00547861" w:rsidRDefault="00EA795F" w:rsidP="00547861">
      <w:pPr>
        <w:numPr>
          <w:ilvl w:val="0"/>
          <w:numId w:val="3"/>
        </w:numPr>
        <w:tabs>
          <w:tab w:val="clear" w:pos="360"/>
          <w:tab w:val="left" w:pos="284"/>
        </w:tabs>
        <w:spacing w:after="120"/>
        <w:ind w:left="284" w:right="-521" w:hanging="284"/>
        <w:rPr>
          <w:rFonts w:ascii="Verdana" w:hAnsi="Verdana" w:cs="Arial"/>
          <w:bCs/>
          <w:sz w:val="22"/>
          <w:szCs w:val="22"/>
        </w:rPr>
      </w:pPr>
      <w:r w:rsidRPr="00547861">
        <w:rPr>
          <w:rFonts w:ascii="Verdana" w:hAnsi="Verdana" w:cs="Arial"/>
          <w:bCs/>
          <w:sz w:val="22"/>
          <w:szCs w:val="22"/>
        </w:rPr>
        <w:t>Their time commitments – including the total average number of hours</w:t>
      </w:r>
      <w:r w:rsidR="008545F4" w:rsidRPr="00547861">
        <w:rPr>
          <w:rFonts w:ascii="Verdana" w:hAnsi="Verdana" w:cs="Arial"/>
          <w:bCs/>
          <w:sz w:val="22"/>
          <w:szCs w:val="22"/>
        </w:rPr>
        <w:t xml:space="preserve"> </w:t>
      </w:r>
      <w:r w:rsidR="00AA0651" w:rsidRPr="00547861">
        <w:rPr>
          <w:rFonts w:ascii="Verdana" w:hAnsi="Verdana" w:cs="Arial"/>
          <w:bCs/>
          <w:sz w:val="22"/>
          <w:szCs w:val="22"/>
        </w:rPr>
        <w:t xml:space="preserve">                  w</w:t>
      </w:r>
      <w:r w:rsidRPr="00547861">
        <w:rPr>
          <w:rFonts w:ascii="Verdana" w:hAnsi="Verdana" w:cs="Arial"/>
          <w:bCs/>
          <w:sz w:val="22"/>
          <w:szCs w:val="22"/>
        </w:rPr>
        <w:t>orked</w:t>
      </w:r>
      <w:r w:rsidR="00AA0651" w:rsidRPr="00547861">
        <w:rPr>
          <w:rFonts w:ascii="Verdana" w:hAnsi="Verdana" w:cs="Arial"/>
          <w:bCs/>
          <w:sz w:val="22"/>
          <w:szCs w:val="22"/>
        </w:rPr>
        <w:t xml:space="preserve"> </w:t>
      </w:r>
      <w:r w:rsidR="006408D3">
        <w:rPr>
          <w:rFonts w:ascii="Verdana" w:hAnsi="Verdana" w:cs="Arial"/>
          <w:bCs/>
          <w:sz w:val="22"/>
          <w:szCs w:val="22"/>
        </w:rPr>
        <w:t>per week on Council business</w:t>
      </w:r>
    </w:p>
    <w:p w14:paraId="0551243C" w14:textId="61CCB209" w:rsidR="00547861" w:rsidRDefault="00F651DC" w:rsidP="00547861">
      <w:pPr>
        <w:numPr>
          <w:ilvl w:val="0"/>
          <w:numId w:val="3"/>
        </w:numPr>
        <w:tabs>
          <w:tab w:val="left" w:pos="284"/>
        </w:tabs>
        <w:spacing w:after="120"/>
        <w:ind w:left="0" w:right="-521" w:firstLine="0"/>
        <w:rPr>
          <w:rFonts w:ascii="Verdana" w:hAnsi="Verdana" w:cs="Arial"/>
          <w:bCs/>
          <w:sz w:val="22"/>
          <w:szCs w:val="22"/>
        </w:rPr>
      </w:pPr>
      <w:r w:rsidRPr="00547861">
        <w:rPr>
          <w:rFonts w:ascii="Verdana" w:hAnsi="Verdana" w:cs="Arial"/>
          <w:bCs/>
          <w:sz w:val="22"/>
          <w:szCs w:val="22"/>
        </w:rPr>
        <w:t>A</w:t>
      </w:r>
      <w:r w:rsidR="002A1982" w:rsidRPr="00547861">
        <w:rPr>
          <w:rFonts w:ascii="Verdana" w:hAnsi="Verdana" w:cs="Arial"/>
          <w:bCs/>
          <w:sz w:val="22"/>
          <w:szCs w:val="22"/>
        </w:rPr>
        <w:t xml:space="preserve"> public service discount of 40%</w:t>
      </w:r>
      <w:r w:rsidR="0040033A" w:rsidRPr="00547861">
        <w:rPr>
          <w:rFonts w:ascii="Verdana" w:hAnsi="Verdana" w:cs="Arial"/>
          <w:bCs/>
          <w:sz w:val="22"/>
          <w:szCs w:val="22"/>
        </w:rPr>
        <w:t xml:space="preserve"> </w:t>
      </w:r>
      <w:r w:rsidR="002A1982" w:rsidRPr="00547861">
        <w:rPr>
          <w:rFonts w:ascii="Verdana" w:hAnsi="Verdana" w:cs="Arial"/>
          <w:bCs/>
          <w:sz w:val="22"/>
          <w:szCs w:val="22"/>
        </w:rPr>
        <w:t>to reflect that Councillors voluntee</w:t>
      </w:r>
      <w:r w:rsidR="006408D3">
        <w:rPr>
          <w:rFonts w:ascii="Verdana" w:hAnsi="Verdana" w:cs="Arial"/>
          <w:bCs/>
          <w:sz w:val="22"/>
          <w:szCs w:val="22"/>
        </w:rPr>
        <w:t>r their time</w:t>
      </w:r>
    </w:p>
    <w:p w14:paraId="2557E628" w14:textId="41DEED7E" w:rsidR="00C73A4F" w:rsidRPr="00547861" w:rsidRDefault="00C73A4F" w:rsidP="00547861">
      <w:pPr>
        <w:numPr>
          <w:ilvl w:val="0"/>
          <w:numId w:val="3"/>
        </w:numPr>
        <w:tabs>
          <w:tab w:val="left" w:pos="284"/>
        </w:tabs>
        <w:spacing w:after="120"/>
        <w:ind w:left="0" w:right="-521" w:firstLine="0"/>
        <w:rPr>
          <w:rFonts w:ascii="Verdana" w:hAnsi="Verdana" w:cs="Arial"/>
          <w:bCs/>
          <w:sz w:val="22"/>
          <w:szCs w:val="22"/>
        </w:rPr>
      </w:pPr>
      <w:r w:rsidRPr="00547861">
        <w:rPr>
          <w:rFonts w:ascii="Verdana" w:hAnsi="Verdana" w:cs="Arial"/>
          <w:bCs/>
          <w:sz w:val="22"/>
          <w:szCs w:val="22"/>
        </w:rPr>
        <w:t xml:space="preserve">The Basic Allowance is paid to all </w:t>
      </w:r>
      <w:r w:rsidR="0064234D" w:rsidRPr="00547861">
        <w:rPr>
          <w:rFonts w:ascii="Verdana" w:hAnsi="Verdana" w:cs="Arial"/>
          <w:bCs/>
          <w:sz w:val="22"/>
          <w:szCs w:val="22"/>
        </w:rPr>
        <w:t>M</w:t>
      </w:r>
      <w:r w:rsidR="006408D3">
        <w:rPr>
          <w:rFonts w:ascii="Verdana" w:hAnsi="Verdana" w:cs="Arial"/>
          <w:bCs/>
          <w:sz w:val="22"/>
          <w:szCs w:val="22"/>
        </w:rPr>
        <w:t>embers of the Council</w:t>
      </w:r>
    </w:p>
    <w:p w14:paraId="38254853" w14:textId="0544F1AE" w:rsidR="00121F76" w:rsidRPr="00FB1324" w:rsidRDefault="00121F76" w:rsidP="0007325E">
      <w:pPr>
        <w:spacing w:after="120"/>
        <w:ind w:right="-142"/>
        <w:jc w:val="both"/>
        <w:rPr>
          <w:rFonts w:ascii="Verdana" w:hAnsi="Verdana" w:cs="Arial"/>
          <w:bCs/>
          <w:sz w:val="22"/>
          <w:szCs w:val="22"/>
        </w:rPr>
      </w:pPr>
      <w:r w:rsidRPr="00FB1324">
        <w:rPr>
          <w:rFonts w:ascii="Verdana" w:hAnsi="Verdana" w:cs="Arial"/>
          <w:bCs/>
          <w:sz w:val="22"/>
          <w:szCs w:val="22"/>
        </w:rPr>
        <w:t xml:space="preserve">Whilst each </w:t>
      </w:r>
      <w:r w:rsidR="00CE578A">
        <w:rPr>
          <w:rFonts w:ascii="Verdana" w:hAnsi="Verdana" w:cs="Arial"/>
          <w:bCs/>
          <w:sz w:val="22"/>
          <w:szCs w:val="22"/>
        </w:rPr>
        <w:t>C</w:t>
      </w:r>
      <w:r w:rsidRPr="00FB1324">
        <w:rPr>
          <w:rFonts w:ascii="Verdana" w:hAnsi="Verdana" w:cs="Arial"/>
          <w:bCs/>
          <w:sz w:val="22"/>
          <w:szCs w:val="22"/>
        </w:rPr>
        <w:t xml:space="preserve">ouncil may set out role descriptions for </w:t>
      </w:r>
      <w:r w:rsidR="00CE578A">
        <w:rPr>
          <w:rFonts w:ascii="Verdana" w:hAnsi="Verdana" w:cs="Arial"/>
          <w:bCs/>
          <w:sz w:val="22"/>
          <w:szCs w:val="22"/>
        </w:rPr>
        <w:t>C</w:t>
      </w:r>
      <w:r w:rsidRPr="00FB1324">
        <w:rPr>
          <w:rFonts w:ascii="Verdana" w:hAnsi="Verdana" w:cs="Arial"/>
          <w:bCs/>
          <w:sz w:val="22"/>
          <w:szCs w:val="22"/>
        </w:rPr>
        <w:t>ouncillors, the Panel accepts that each councillor will carry out that role differently, reflecting personal circums</w:t>
      </w:r>
      <w:r w:rsidR="00547861">
        <w:rPr>
          <w:rFonts w:ascii="Verdana" w:hAnsi="Verdana" w:cs="Arial"/>
          <w:bCs/>
          <w:sz w:val="22"/>
          <w:szCs w:val="22"/>
        </w:rPr>
        <w:t xml:space="preserve">tances and local requirements. </w:t>
      </w:r>
      <w:r w:rsidR="002A7E88" w:rsidRPr="00FB1324">
        <w:rPr>
          <w:rFonts w:ascii="Verdana" w:hAnsi="Verdana" w:cs="Arial"/>
          <w:bCs/>
          <w:sz w:val="22"/>
          <w:szCs w:val="22"/>
        </w:rPr>
        <w:t>However, w</w:t>
      </w:r>
      <w:r w:rsidR="002A7E88" w:rsidRPr="00FB1324">
        <w:rPr>
          <w:rFonts w:ascii="Verdana" w:hAnsi="Verdana" w:cs="Arial"/>
          <w:sz w:val="22"/>
          <w:szCs w:val="22"/>
        </w:rPr>
        <w:t>e consider the Basic Allowance to include Councillors’ roles in Overview and Scrutiny, as any non-Executive member of the Council is able to contribute to thi</w:t>
      </w:r>
      <w:r w:rsidR="00547861">
        <w:rPr>
          <w:rFonts w:ascii="Verdana" w:hAnsi="Verdana" w:cs="Arial"/>
          <w:sz w:val="22"/>
          <w:szCs w:val="22"/>
        </w:rPr>
        <w:t>s aspect of the Council’s work.</w:t>
      </w:r>
      <w:r w:rsidR="002A7E88" w:rsidRPr="00FB1324">
        <w:rPr>
          <w:rFonts w:ascii="Verdana" w:hAnsi="Verdana" w:cs="Arial"/>
          <w:sz w:val="22"/>
          <w:szCs w:val="22"/>
        </w:rPr>
        <w:t xml:space="preserve"> It is for this reason that we do not recommend any Special Responsibility Allowance for members of the Overview and Scrutiny Committee.</w:t>
      </w:r>
      <w:r w:rsidRPr="00FB1324">
        <w:rPr>
          <w:rFonts w:ascii="Verdana" w:hAnsi="Verdana" w:cs="Arial"/>
          <w:bCs/>
          <w:sz w:val="22"/>
          <w:szCs w:val="22"/>
        </w:rPr>
        <w:t xml:space="preserve"> We also consider that ICT could be included </w:t>
      </w:r>
      <w:r w:rsidR="002A7E88" w:rsidRPr="00FB1324">
        <w:rPr>
          <w:rFonts w:ascii="Verdana" w:hAnsi="Verdana" w:cs="Arial"/>
          <w:bCs/>
          <w:sz w:val="22"/>
          <w:szCs w:val="22"/>
        </w:rPr>
        <w:t xml:space="preserve">in the Basic </w:t>
      </w:r>
      <w:r w:rsidR="00CE578A">
        <w:rPr>
          <w:rFonts w:ascii="Verdana" w:hAnsi="Verdana" w:cs="Arial"/>
          <w:bCs/>
          <w:sz w:val="22"/>
          <w:szCs w:val="22"/>
        </w:rPr>
        <w:t>A</w:t>
      </w:r>
      <w:r w:rsidR="002A7E88" w:rsidRPr="00FB1324">
        <w:rPr>
          <w:rFonts w:ascii="Verdana" w:hAnsi="Verdana" w:cs="Arial"/>
          <w:bCs/>
          <w:sz w:val="22"/>
          <w:szCs w:val="22"/>
        </w:rPr>
        <w:t xml:space="preserve">llowance </w:t>
      </w:r>
      <w:r w:rsidRPr="00FB1324">
        <w:rPr>
          <w:rFonts w:ascii="Verdana" w:hAnsi="Verdana" w:cs="Arial"/>
          <w:bCs/>
          <w:sz w:val="22"/>
          <w:szCs w:val="22"/>
        </w:rPr>
        <w:t xml:space="preserve">as it is </w:t>
      </w:r>
      <w:r w:rsidR="002A7E88" w:rsidRPr="00FB1324">
        <w:rPr>
          <w:rFonts w:ascii="Verdana" w:hAnsi="Verdana" w:cs="Arial"/>
          <w:bCs/>
          <w:sz w:val="22"/>
          <w:szCs w:val="22"/>
        </w:rPr>
        <w:t xml:space="preserve">generally </w:t>
      </w:r>
      <w:r w:rsidRPr="00FB1324">
        <w:rPr>
          <w:rFonts w:ascii="Verdana" w:hAnsi="Verdana" w:cs="Arial"/>
          <w:bCs/>
          <w:sz w:val="22"/>
          <w:szCs w:val="22"/>
        </w:rPr>
        <w:t xml:space="preserve">more readily available to individuals than </w:t>
      </w:r>
      <w:r w:rsidR="00547861">
        <w:rPr>
          <w:rFonts w:ascii="Verdana" w:hAnsi="Verdana" w:cs="Arial"/>
          <w:bCs/>
          <w:sz w:val="22"/>
          <w:szCs w:val="22"/>
        </w:rPr>
        <w:t xml:space="preserve">in previous years. </w:t>
      </w:r>
      <w:r w:rsidR="002A7E88" w:rsidRPr="00FB1324">
        <w:rPr>
          <w:rFonts w:ascii="Verdana" w:hAnsi="Verdana" w:cs="Arial"/>
          <w:bCs/>
          <w:sz w:val="22"/>
          <w:szCs w:val="22"/>
        </w:rPr>
        <w:t>However, we</w:t>
      </w:r>
      <w:r w:rsidRPr="00FB1324">
        <w:rPr>
          <w:rFonts w:ascii="Verdana" w:hAnsi="Verdana" w:cs="Arial"/>
          <w:bCs/>
          <w:sz w:val="22"/>
          <w:szCs w:val="22"/>
        </w:rPr>
        <w:t xml:space="preserve"> are comfortable that specific local decisions may be made about how </w:t>
      </w:r>
      <w:r w:rsidR="002A7E88" w:rsidRPr="00FB1324">
        <w:rPr>
          <w:rFonts w:ascii="Verdana" w:hAnsi="Verdana" w:cs="Arial"/>
          <w:bCs/>
          <w:sz w:val="22"/>
          <w:szCs w:val="22"/>
        </w:rPr>
        <w:t xml:space="preserve">ICT </w:t>
      </w:r>
      <w:r w:rsidRPr="00FB1324">
        <w:rPr>
          <w:rFonts w:ascii="Verdana" w:hAnsi="Verdana" w:cs="Arial"/>
          <w:bCs/>
          <w:sz w:val="22"/>
          <w:szCs w:val="22"/>
        </w:rPr>
        <w:t>support is provided.</w:t>
      </w:r>
    </w:p>
    <w:p w14:paraId="0954700C" w14:textId="5131C395" w:rsidR="00121F76" w:rsidRPr="00FB1324" w:rsidRDefault="00B550DD" w:rsidP="0007325E">
      <w:pPr>
        <w:spacing w:after="120"/>
        <w:ind w:right="-142"/>
        <w:jc w:val="both"/>
        <w:rPr>
          <w:rFonts w:ascii="Verdana" w:hAnsi="Verdana" w:cs="Arial"/>
          <w:bCs/>
          <w:sz w:val="22"/>
          <w:szCs w:val="22"/>
        </w:rPr>
      </w:pPr>
      <w:r w:rsidRPr="00FB1324">
        <w:rPr>
          <w:rFonts w:ascii="Verdana" w:hAnsi="Verdana" w:cs="Arial"/>
          <w:bCs/>
          <w:sz w:val="22"/>
          <w:szCs w:val="22"/>
        </w:rPr>
        <w:t xml:space="preserve">As mentioned earlier, </w:t>
      </w:r>
      <w:r w:rsidR="00F7376C" w:rsidRPr="00FB1324">
        <w:rPr>
          <w:rFonts w:ascii="Verdana" w:hAnsi="Verdana" w:cs="Arial"/>
          <w:bCs/>
          <w:sz w:val="22"/>
          <w:szCs w:val="22"/>
        </w:rPr>
        <w:t xml:space="preserve">in 2015 </w:t>
      </w:r>
      <w:r w:rsidR="00121F76" w:rsidRPr="00FB1324">
        <w:rPr>
          <w:rFonts w:ascii="Verdana" w:hAnsi="Verdana" w:cs="Arial"/>
          <w:bCs/>
          <w:sz w:val="22"/>
          <w:szCs w:val="22"/>
        </w:rPr>
        <w:t xml:space="preserve">Worcester City Councillors recorded the time spent per week on </w:t>
      </w:r>
      <w:r w:rsidRPr="00FB1324">
        <w:rPr>
          <w:rFonts w:ascii="Verdana" w:hAnsi="Verdana" w:cs="Arial"/>
          <w:bCs/>
          <w:sz w:val="22"/>
          <w:szCs w:val="22"/>
        </w:rPr>
        <w:t>C</w:t>
      </w:r>
      <w:r w:rsidR="00121F76" w:rsidRPr="00FB1324">
        <w:rPr>
          <w:rFonts w:ascii="Verdana" w:hAnsi="Verdana" w:cs="Arial"/>
          <w:bCs/>
          <w:sz w:val="22"/>
          <w:szCs w:val="22"/>
        </w:rPr>
        <w:t xml:space="preserve">ouncil business for a number of </w:t>
      </w:r>
      <w:r w:rsidR="00547861">
        <w:rPr>
          <w:rFonts w:ascii="Verdana" w:hAnsi="Verdana" w:cs="Arial"/>
          <w:bCs/>
          <w:sz w:val="22"/>
          <w:szCs w:val="22"/>
        </w:rPr>
        <w:t xml:space="preserve">weeks during the early autumn. </w:t>
      </w:r>
      <w:r w:rsidR="00121F76" w:rsidRPr="00FB1324">
        <w:rPr>
          <w:rFonts w:ascii="Verdana" w:hAnsi="Verdana" w:cs="Arial"/>
          <w:bCs/>
          <w:sz w:val="22"/>
          <w:szCs w:val="22"/>
        </w:rPr>
        <w:t xml:space="preserve">This was considered to reflect an appropriate “average” period of time for meetings </w:t>
      </w:r>
      <w:r w:rsidR="00547861">
        <w:rPr>
          <w:rFonts w:ascii="Verdana" w:hAnsi="Verdana" w:cs="Arial"/>
          <w:bCs/>
          <w:sz w:val="22"/>
          <w:szCs w:val="22"/>
        </w:rPr>
        <w:t xml:space="preserve">and other commitments. </w:t>
      </w:r>
      <w:r w:rsidR="00121F76" w:rsidRPr="00FB1324">
        <w:rPr>
          <w:rFonts w:ascii="Verdana" w:hAnsi="Verdana" w:cs="Arial"/>
          <w:bCs/>
          <w:sz w:val="22"/>
          <w:szCs w:val="22"/>
        </w:rPr>
        <w:t xml:space="preserve">The results from this survey showed that the </w:t>
      </w:r>
      <w:r w:rsidR="002A7E88" w:rsidRPr="00FB1324">
        <w:rPr>
          <w:rFonts w:ascii="Verdana" w:hAnsi="Verdana" w:cs="Arial"/>
          <w:bCs/>
          <w:sz w:val="22"/>
          <w:szCs w:val="22"/>
        </w:rPr>
        <w:t>average input</w:t>
      </w:r>
      <w:r w:rsidR="00121F76" w:rsidRPr="00FB1324">
        <w:rPr>
          <w:rFonts w:ascii="Verdana" w:hAnsi="Verdana" w:cs="Arial"/>
          <w:bCs/>
          <w:sz w:val="22"/>
          <w:szCs w:val="22"/>
        </w:rPr>
        <w:t xml:space="preserve"> was 1</w:t>
      </w:r>
      <w:r w:rsidR="0064234D" w:rsidRPr="00FB1324">
        <w:rPr>
          <w:rFonts w:ascii="Verdana" w:hAnsi="Verdana" w:cs="Arial"/>
          <w:bCs/>
          <w:sz w:val="22"/>
          <w:szCs w:val="22"/>
        </w:rPr>
        <w:t>0</w:t>
      </w:r>
      <w:r w:rsidR="00121F76" w:rsidRPr="00FB1324">
        <w:rPr>
          <w:rFonts w:ascii="Verdana" w:hAnsi="Verdana" w:cs="Arial"/>
          <w:bCs/>
          <w:sz w:val="22"/>
          <w:szCs w:val="22"/>
        </w:rPr>
        <w:t xml:space="preserve"> hours</w:t>
      </w:r>
      <w:r w:rsidR="0064234D" w:rsidRPr="00FB1324">
        <w:rPr>
          <w:rFonts w:ascii="Verdana" w:hAnsi="Verdana" w:cs="Arial"/>
          <w:bCs/>
          <w:sz w:val="22"/>
          <w:szCs w:val="22"/>
        </w:rPr>
        <w:t xml:space="preserve"> and 50 minutes</w:t>
      </w:r>
      <w:r w:rsidR="00547861">
        <w:rPr>
          <w:rFonts w:ascii="Verdana" w:hAnsi="Verdana" w:cs="Arial"/>
          <w:bCs/>
          <w:sz w:val="22"/>
          <w:szCs w:val="22"/>
        </w:rPr>
        <w:t xml:space="preserve"> </w:t>
      </w:r>
      <w:r w:rsidR="00547861">
        <w:rPr>
          <w:rFonts w:ascii="Verdana" w:hAnsi="Verdana" w:cs="Arial"/>
          <w:bCs/>
          <w:sz w:val="22"/>
          <w:szCs w:val="22"/>
        </w:rPr>
        <w:lastRenderedPageBreak/>
        <w:t>per week.</w:t>
      </w:r>
      <w:r w:rsidR="00121F76" w:rsidRPr="00FB1324">
        <w:rPr>
          <w:rFonts w:ascii="Verdana" w:hAnsi="Verdana" w:cs="Arial"/>
          <w:bCs/>
          <w:sz w:val="22"/>
          <w:szCs w:val="22"/>
        </w:rPr>
        <w:t xml:space="preserve"> This figure matches the one used for a number of years by the Panel, based on previous research with constituent councils, to calculate the basic allowance.  </w:t>
      </w:r>
    </w:p>
    <w:p w14:paraId="075B3250" w14:textId="28464010" w:rsidR="002A1982" w:rsidRPr="00CE578A" w:rsidRDefault="00D2218D" w:rsidP="00C54F6C">
      <w:pPr>
        <w:tabs>
          <w:tab w:val="left" w:pos="851"/>
        </w:tabs>
        <w:ind w:right="-142"/>
        <w:jc w:val="both"/>
        <w:rPr>
          <w:rFonts w:ascii="Verdana" w:hAnsi="Verdana" w:cs="Arial"/>
          <w:bCs/>
          <w:sz w:val="22"/>
          <w:szCs w:val="22"/>
        </w:rPr>
      </w:pPr>
      <w:r>
        <w:rPr>
          <w:rFonts w:ascii="Verdana" w:hAnsi="Verdana" w:cs="Arial"/>
          <w:bCs/>
          <w:sz w:val="22"/>
          <w:szCs w:val="22"/>
        </w:rPr>
        <w:t>We</w:t>
      </w:r>
      <w:r w:rsidR="0007325E">
        <w:rPr>
          <w:rFonts w:ascii="Verdana" w:hAnsi="Verdana" w:cs="Arial"/>
          <w:bCs/>
          <w:sz w:val="22"/>
          <w:szCs w:val="22"/>
        </w:rPr>
        <w:t xml:space="preserve"> reviewed the levels of wage rates for Worcestershire as set out in the ASHE data (details in appendix 2)</w:t>
      </w:r>
      <w:r>
        <w:rPr>
          <w:rFonts w:ascii="Verdana" w:hAnsi="Verdana" w:cs="Arial"/>
          <w:bCs/>
          <w:sz w:val="22"/>
          <w:szCs w:val="22"/>
        </w:rPr>
        <w:t xml:space="preserve"> </w:t>
      </w:r>
      <w:r w:rsidR="002A1982" w:rsidRPr="00D2218D">
        <w:rPr>
          <w:rFonts w:ascii="Verdana" w:hAnsi="Verdana" w:cs="Arial"/>
          <w:bCs/>
          <w:sz w:val="22"/>
          <w:szCs w:val="22"/>
        </w:rPr>
        <w:t xml:space="preserve">and the benchmark information available to us from the </w:t>
      </w:r>
      <w:r w:rsidR="004D1F3F" w:rsidRPr="00D2218D">
        <w:rPr>
          <w:rFonts w:ascii="Verdana" w:hAnsi="Verdana" w:cs="Arial"/>
          <w:bCs/>
          <w:sz w:val="22"/>
          <w:szCs w:val="22"/>
        </w:rPr>
        <w:t xml:space="preserve">Chartered Institute of Public Finance and </w:t>
      </w:r>
      <w:r w:rsidR="004D1F3F" w:rsidRPr="00FB1324">
        <w:rPr>
          <w:rFonts w:ascii="Verdana" w:hAnsi="Verdana" w:cs="Arial"/>
          <w:bCs/>
          <w:sz w:val="22"/>
          <w:szCs w:val="22"/>
        </w:rPr>
        <w:t>Accountancy (</w:t>
      </w:r>
      <w:r w:rsidR="002A1982" w:rsidRPr="00FB1324">
        <w:rPr>
          <w:rFonts w:ascii="Verdana" w:hAnsi="Verdana" w:cs="Arial"/>
          <w:bCs/>
          <w:sz w:val="22"/>
          <w:szCs w:val="22"/>
        </w:rPr>
        <w:t>CIPFA</w:t>
      </w:r>
      <w:r w:rsidR="004D1F3F" w:rsidRPr="00FB1324">
        <w:rPr>
          <w:rFonts w:ascii="Verdana" w:hAnsi="Verdana" w:cs="Arial"/>
          <w:bCs/>
          <w:sz w:val="22"/>
          <w:szCs w:val="22"/>
        </w:rPr>
        <w:t>)</w:t>
      </w:r>
      <w:r w:rsidR="002A1982" w:rsidRPr="00FB1324">
        <w:rPr>
          <w:rFonts w:ascii="Verdana" w:hAnsi="Verdana" w:cs="Arial"/>
          <w:bCs/>
          <w:sz w:val="22"/>
          <w:szCs w:val="22"/>
        </w:rPr>
        <w:t xml:space="preserve"> “</w:t>
      </w:r>
      <w:r w:rsidR="00613441" w:rsidRPr="00FB1324">
        <w:rPr>
          <w:rFonts w:ascii="Verdana" w:hAnsi="Verdana" w:cs="Arial"/>
          <w:bCs/>
          <w:sz w:val="22"/>
          <w:szCs w:val="22"/>
        </w:rPr>
        <w:t>nearest neighbours” authorities as part of our research into the level o</w:t>
      </w:r>
      <w:r w:rsidR="00547861">
        <w:rPr>
          <w:rFonts w:ascii="Verdana" w:hAnsi="Verdana" w:cs="Arial"/>
          <w:bCs/>
          <w:sz w:val="22"/>
          <w:szCs w:val="22"/>
        </w:rPr>
        <w:t xml:space="preserve">f basic allowance recommended. </w:t>
      </w:r>
      <w:r w:rsidR="00613441" w:rsidRPr="00B2108F">
        <w:rPr>
          <w:rFonts w:ascii="Verdana" w:hAnsi="Verdana" w:cs="Arial"/>
          <w:bCs/>
          <w:sz w:val="22"/>
          <w:szCs w:val="22"/>
        </w:rPr>
        <w:t xml:space="preserve">We are also aware that </w:t>
      </w:r>
      <w:r w:rsidR="00063383" w:rsidRPr="00B2108F">
        <w:rPr>
          <w:rFonts w:ascii="Verdana" w:hAnsi="Verdana" w:cs="Arial"/>
          <w:bCs/>
          <w:sz w:val="22"/>
          <w:szCs w:val="22"/>
        </w:rPr>
        <w:t xml:space="preserve">the majority of </w:t>
      </w:r>
      <w:r w:rsidR="00613441" w:rsidRPr="00B2108F">
        <w:rPr>
          <w:rFonts w:ascii="Verdana" w:hAnsi="Verdana" w:cs="Arial"/>
          <w:bCs/>
          <w:sz w:val="22"/>
          <w:szCs w:val="22"/>
        </w:rPr>
        <w:t>local government employees received a</w:t>
      </w:r>
      <w:r w:rsidR="00CE373A" w:rsidRPr="00B2108F">
        <w:rPr>
          <w:rFonts w:ascii="Verdana" w:hAnsi="Verdana" w:cs="Arial"/>
          <w:bCs/>
          <w:sz w:val="22"/>
          <w:szCs w:val="22"/>
        </w:rPr>
        <w:t>n average of 2</w:t>
      </w:r>
      <w:r w:rsidR="00ED59B9">
        <w:rPr>
          <w:rFonts w:ascii="Verdana" w:hAnsi="Verdana" w:cs="Arial"/>
          <w:bCs/>
          <w:sz w:val="22"/>
          <w:szCs w:val="22"/>
        </w:rPr>
        <w:t>.75</w:t>
      </w:r>
      <w:r w:rsidR="00CE373A" w:rsidRPr="00B2108F">
        <w:rPr>
          <w:rFonts w:ascii="Verdana" w:hAnsi="Verdana" w:cs="Arial"/>
          <w:bCs/>
          <w:sz w:val="22"/>
          <w:szCs w:val="22"/>
        </w:rPr>
        <w:t>% i</w:t>
      </w:r>
      <w:r w:rsidR="00613441" w:rsidRPr="00B2108F">
        <w:rPr>
          <w:rFonts w:ascii="Verdana" w:hAnsi="Verdana" w:cs="Arial"/>
          <w:bCs/>
          <w:sz w:val="22"/>
          <w:szCs w:val="22"/>
        </w:rPr>
        <w:t xml:space="preserve">ncrease in pay in </w:t>
      </w:r>
      <w:r w:rsidR="00FB1324" w:rsidRPr="00B2108F">
        <w:rPr>
          <w:rFonts w:ascii="Verdana" w:hAnsi="Verdana" w:cs="Arial"/>
          <w:bCs/>
          <w:sz w:val="22"/>
          <w:szCs w:val="22"/>
        </w:rPr>
        <w:t>April</w:t>
      </w:r>
      <w:r w:rsidR="00F7376C" w:rsidRPr="00B2108F">
        <w:rPr>
          <w:rFonts w:ascii="Verdana" w:hAnsi="Verdana" w:cs="Arial"/>
          <w:bCs/>
          <w:sz w:val="22"/>
          <w:szCs w:val="22"/>
        </w:rPr>
        <w:t xml:space="preserve"> 20</w:t>
      </w:r>
      <w:r w:rsidR="00BE097B">
        <w:rPr>
          <w:rFonts w:ascii="Verdana" w:hAnsi="Verdana" w:cs="Arial"/>
          <w:bCs/>
          <w:sz w:val="22"/>
          <w:szCs w:val="22"/>
        </w:rPr>
        <w:t>20</w:t>
      </w:r>
      <w:r w:rsidR="00CE373A" w:rsidRPr="00B2108F">
        <w:rPr>
          <w:rFonts w:ascii="Verdana" w:hAnsi="Verdana" w:cs="Arial"/>
          <w:bCs/>
          <w:sz w:val="22"/>
          <w:szCs w:val="22"/>
        </w:rPr>
        <w:t xml:space="preserve"> (dependent on scale). </w:t>
      </w:r>
    </w:p>
    <w:p w14:paraId="50A5D225" w14:textId="77777777" w:rsidR="00C251E4" w:rsidRPr="00FB1324" w:rsidRDefault="00C251E4" w:rsidP="00C54F6C">
      <w:pPr>
        <w:ind w:right="-142"/>
        <w:jc w:val="both"/>
        <w:rPr>
          <w:rFonts w:ascii="Verdana" w:hAnsi="Verdana" w:cs="Arial"/>
          <w:bCs/>
          <w:sz w:val="22"/>
          <w:szCs w:val="22"/>
        </w:rPr>
      </w:pPr>
    </w:p>
    <w:p w14:paraId="047BC04B" w14:textId="77777777" w:rsidR="00121F76" w:rsidRDefault="00121F76" w:rsidP="00C54F6C">
      <w:pPr>
        <w:ind w:right="-142"/>
        <w:jc w:val="both"/>
        <w:rPr>
          <w:rFonts w:ascii="Verdana" w:hAnsi="Verdana" w:cs="Arial"/>
          <w:bCs/>
          <w:sz w:val="22"/>
          <w:szCs w:val="22"/>
        </w:rPr>
      </w:pPr>
      <w:r w:rsidRPr="00FB1324">
        <w:rPr>
          <w:rFonts w:ascii="Verdana" w:hAnsi="Verdana" w:cs="Arial"/>
          <w:bCs/>
          <w:sz w:val="22"/>
          <w:szCs w:val="22"/>
        </w:rPr>
        <w:t xml:space="preserve">The </w:t>
      </w:r>
      <w:r w:rsidR="00C54F6C" w:rsidRPr="006C6FA7">
        <w:rPr>
          <w:rFonts w:ascii="Verdana" w:hAnsi="Verdana" w:cs="Arial"/>
          <w:bCs/>
          <w:sz w:val="22"/>
          <w:szCs w:val="22"/>
        </w:rPr>
        <w:t>research information u</w:t>
      </w:r>
      <w:r w:rsidRPr="006C6FA7">
        <w:rPr>
          <w:rFonts w:ascii="Verdana" w:hAnsi="Verdana" w:cs="Arial"/>
          <w:bCs/>
          <w:sz w:val="22"/>
          <w:szCs w:val="22"/>
        </w:rPr>
        <w:t xml:space="preserve">sed </w:t>
      </w:r>
      <w:r w:rsidR="0007325E" w:rsidRPr="006C6FA7">
        <w:rPr>
          <w:rFonts w:ascii="Verdana" w:hAnsi="Verdana" w:cs="Arial"/>
          <w:bCs/>
          <w:sz w:val="22"/>
          <w:szCs w:val="22"/>
        </w:rPr>
        <w:t>in the consideration</w:t>
      </w:r>
      <w:r w:rsidR="0007325E">
        <w:rPr>
          <w:rFonts w:ascii="Verdana" w:hAnsi="Verdana" w:cs="Arial"/>
          <w:bCs/>
          <w:sz w:val="22"/>
          <w:szCs w:val="22"/>
        </w:rPr>
        <w:t xml:space="preserve"> of </w:t>
      </w:r>
      <w:r w:rsidR="002A7E88" w:rsidRPr="00FB1324">
        <w:rPr>
          <w:rFonts w:ascii="Verdana" w:hAnsi="Verdana" w:cs="Arial"/>
          <w:bCs/>
          <w:sz w:val="22"/>
          <w:szCs w:val="22"/>
        </w:rPr>
        <w:t xml:space="preserve">the Basic allowance </w:t>
      </w:r>
      <w:r w:rsidRPr="00FB1324">
        <w:rPr>
          <w:rFonts w:ascii="Verdana" w:hAnsi="Verdana" w:cs="Arial"/>
          <w:bCs/>
          <w:sz w:val="22"/>
          <w:szCs w:val="22"/>
        </w:rPr>
        <w:t>is</w:t>
      </w:r>
      <w:r w:rsidR="002A7E88" w:rsidRPr="00FB1324">
        <w:rPr>
          <w:rFonts w:ascii="Verdana" w:hAnsi="Verdana" w:cs="Arial"/>
          <w:bCs/>
          <w:sz w:val="22"/>
          <w:szCs w:val="22"/>
        </w:rPr>
        <w:t xml:space="preserve"> set out at appe</w:t>
      </w:r>
      <w:r w:rsidR="00C73A4F" w:rsidRPr="00FB1324">
        <w:rPr>
          <w:rFonts w:ascii="Verdana" w:hAnsi="Verdana" w:cs="Arial"/>
          <w:bCs/>
          <w:sz w:val="22"/>
          <w:szCs w:val="22"/>
        </w:rPr>
        <w:t xml:space="preserve">ndix 2.  </w:t>
      </w:r>
    </w:p>
    <w:p w14:paraId="1A8CB179" w14:textId="77777777" w:rsidR="00C54F6C" w:rsidRDefault="00C54F6C" w:rsidP="00C54F6C">
      <w:pPr>
        <w:ind w:right="-142"/>
        <w:rPr>
          <w:rFonts w:ascii="Verdana" w:hAnsi="Verdana" w:cs="Arial"/>
          <w:bCs/>
          <w:sz w:val="22"/>
          <w:szCs w:val="22"/>
        </w:rPr>
      </w:pPr>
    </w:p>
    <w:p w14:paraId="22813996" w14:textId="77777777" w:rsidR="00C54F6C" w:rsidRPr="00C54F6C" w:rsidRDefault="00C54F6C" w:rsidP="006C6FA7">
      <w:pPr>
        <w:ind w:right="-142"/>
        <w:rPr>
          <w:rFonts w:ascii="Verdana" w:hAnsi="Verdana" w:cs="Arial"/>
          <w:b/>
          <w:sz w:val="22"/>
          <w:szCs w:val="22"/>
          <w:u w:val="single"/>
        </w:rPr>
      </w:pPr>
      <w:r w:rsidRPr="00C54F6C">
        <w:rPr>
          <w:rFonts w:ascii="Verdana" w:hAnsi="Verdana" w:cs="Arial"/>
          <w:b/>
          <w:sz w:val="22"/>
          <w:szCs w:val="22"/>
          <w:u w:val="single"/>
        </w:rPr>
        <w:t>Special Responsibility Allowances (SRA) 2021/22</w:t>
      </w:r>
    </w:p>
    <w:p w14:paraId="528B0609" w14:textId="77777777" w:rsidR="00C54F6C" w:rsidRPr="00FB1324" w:rsidRDefault="00C54F6C" w:rsidP="006C6FA7">
      <w:pPr>
        <w:ind w:right="-142"/>
        <w:rPr>
          <w:rFonts w:ascii="Verdana" w:hAnsi="Verdana" w:cs="Arial"/>
          <w:bCs/>
          <w:sz w:val="22"/>
          <w:szCs w:val="22"/>
        </w:rPr>
      </w:pPr>
    </w:p>
    <w:p w14:paraId="3A73593E" w14:textId="77777777" w:rsidR="00F7376C" w:rsidRDefault="00C54F6C" w:rsidP="006C6FA7">
      <w:pPr>
        <w:ind w:right="-142"/>
        <w:jc w:val="both"/>
        <w:rPr>
          <w:rFonts w:ascii="Verdana" w:hAnsi="Verdana" w:cs="Arial"/>
          <w:bCs/>
          <w:sz w:val="22"/>
          <w:szCs w:val="22"/>
        </w:rPr>
      </w:pPr>
      <w:r>
        <w:rPr>
          <w:rFonts w:ascii="Verdana" w:hAnsi="Verdana" w:cs="Arial"/>
          <w:bCs/>
          <w:sz w:val="22"/>
          <w:szCs w:val="22"/>
        </w:rPr>
        <w:t xml:space="preserve">The basis for the calculation of SRAs is a multiplier of the Basic Allowance as advocated in the published Guidance. </w:t>
      </w:r>
    </w:p>
    <w:p w14:paraId="76336E6C" w14:textId="77777777" w:rsidR="00C54F6C" w:rsidRDefault="00C54F6C" w:rsidP="006C6FA7">
      <w:pPr>
        <w:ind w:right="-142"/>
        <w:jc w:val="both"/>
        <w:rPr>
          <w:rFonts w:ascii="Verdana" w:hAnsi="Verdana" w:cs="Arial"/>
          <w:bCs/>
          <w:sz w:val="22"/>
          <w:szCs w:val="22"/>
        </w:rPr>
      </w:pPr>
    </w:p>
    <w:p w14:paraId="2E200957" w14:textId="77777777" w:rsidR="00C54F6C" w:rsidRDefault="00C54F6C" w:rsidP="006C6FA7">
      <w:pPr>
        <w:ind w:right="-142"/>
        <w:jc w:val="both"/>
        <w:rPr>
          <w:rFonts w:ascii="Verdana" w:hAnsi="Verdana" w:cs="Arial"/>
          <w:bCs/>
          <w:sz w:val="22"/>
          <w:szCs w:val="22"/>
        </w:rPr>
      </w:pPr>
      <w:r>
        <w:rPr>
          <w:rFonts w:ascii="Verdana" w:hAnsi="Verdana" w:cs="Arial"/>
          <w:bCs/>
          <w:sz w:val="22"/>
          <w:szCs w:val="22"/>
        </w:rPr>
        <w:t xml:space="preserve">For the reasons as set out in the introduction to the report, no recommendations have been made to change the SRA multiplier rates for 2021/22. As such the recommended rates remain as they were in the 2020/21 report and as detailed in Appendix 2. </w:t>
      </w:r>
    </w:p>
    <w:p w14:paraId="1E131BDC" w14:textId="77777777" w:rsidR="00C54F6C" w:rsidRPr="0036110E" w:rsidRDefault="00C54F6C" w:rsidP="00C54F6C">
      <w:pPr>
        <w:ind w:right="-142"/>
        <w:rPr>
          <w:rFonts w:ascii="Verdana" w:hAnsi="Verdana" w:cs="Arial"/>
          <w:bCs/>
          <w:sz w:val="22"/>
          <w:szCs w:val="22"/>
        </w:rPr>
      </w:pPr>
    </w:p>
    <w:p w14:paraId="5E2084D0" w14:textId="77777777" w:rsidR="005D7A54" w:rsidRPr="0036110E" w:rsidRDefault="005D7A54" w:rsidP="0036110E">
      <w:pPr>
        <w:ind w:right="-521"/>
        <w:rPr>
          <w:rFonts w:ascii="Verdana" w:hAnsi="Verdana" w:cs="Arial"/>
          <w:b/>
          <w:sz w:val="22"/>
          <w:szCs w:val="22"/>
          <w:u w:val="single"/>
        </w:rPr>
      </w:pPr>
      <w:r w:rsidRPr="0036110E">
        <w:rPr>
          <w:rFonts w:ascii="Verdana" w:hAnsi="Verdana" w:cs="Arial"/>
          <w:b/>
          <w:sz w:val="22"/>
          <w:szCs w:val="22"/>
          <w:u w:val="single"/>
        </w:rPr>
        <w:t xml:space="preserve">Mileage and Expenses </w:t>
      </w:r>
      <w:r w:rsidR="000575F6">
        <w:rPr>
          <w:rFonts w:ascii="Verdana" w:hAnsi="Verdana" w:cs="Arial"/>
          <w:b/>
          <w:sz w:val="22"/>
          <w:szCs w:val="22"/>
          <w:u w:val="single"/>
        </w:rPr>
        <w:t>202</w:t>
      </w:r>
      <w:r w:rsidR="00ED59B9">
        <w:rPr>
          <w:rFonts w:ascii="Verdana" w:hAnsi="Verdana" w:cs="Arial"/>
          <w:b/>
          <w:sz w:val="22"/>
          <w:szCs w:val="22"/>
          <w:u w:val="single"/>
        </w:rPr>
        <w:t>1</w:t>
      </w:r>
      <w:r w:rsidR="000575F6">
        <w:rPr>
          <w:rFonts w:ascii="Verdana" w:hAnsi="Verdana" w:cs="Arial"/>
          <w:b/>
          <w:sz w:val="22"/>
          <w:szCs w:val="22"/>
          <w:u w:val="single"/>
        </w:rPr>
        <w:t>-2</w:t>
      </w:r>
      <w:r w:rsidR="00ED59B9">
        <w:rPr>
          <w:rFonts w:ascii="Verdana" w:hAnsi="Verdana" w:cs="Arial"/>
          <w:b/>
          <w:sz w:val="22"/>
          <w:szCs w:val="22"/>
          <w:u w:val="single"/>
        </w:rPr>
        <w:t>2</w:t>
      </w:r>
    </w:p>
    <w:p w14:paraId="2093FAC1" w14:textId="77777777" w:rsidR="005D7A54" w:rsidRPr="0036110E" w:rsidRDefault="005D7A54" w:rsidP="0036110E">
      <w:pPr>
        <w:ind w:right="-521"/>
        <w:rPr>
          <w:rFonts w:ascii="Verdana" w:hAnsi="Verdana" w:cs="Arial"/>
          <w:sz w:val="22"/>
          <w:szCs w:val="22"/>
        </w:rPr>
      </w:pPr>
    </w:p>
    <w:p w14:paraId="680773C3" w14:textId="77777777" w:rsidR="005D7A54" w:rsidRPr="0036110E" w:rsidRDefault="005D7A54" w:rsidP="0007325E">
      <w:pPr>
        <w:ind w:right="-142"/>
        <w:jc w:val="both"/>
        <w:rPr>
          <w:rFonts w:ascii="Verdana" w:hAnsi="Verdana" w:cs="Arial"/>
          <w:sz w:val="22"/>
          <w:szCs w:val="22"/>
        </w:rPr>
      </w:pPr>
      <w:r w:rsidRPr="0036110E">
        <w:rPr>
          <w:rFonts w:ascii="Verdana" w:hAnsi="Verdana" w:cs="Arial"/>
          <w:sz w:val="22"/>
          <w:szCs w:val="22"/>
        </w:rPr>
        <w:t>The Panel note</w:t>
      </w:r>
      <w:r w:rsidR="003539E3" w:rsidRPr="0036110E">
        <w:rPr>
          <w:rFonts w:ascii="Verdana" w:hAnsi="Verdana" w:cs="Arial"/>
          <w:sz w:val="22"/>
          <w:szCs w:val="22"/>
        </w:rPr>
        <w:t>s</w:t>
      </w:r>
      <w:r w:rsidRPr="0036110E">
        <w:rPr>
          <w:rFonts w:ascii="Verdana" w:hAnsi="Verdana" w:cs="Arial"/>
          <w:sz w:val="22"/>
          <w:szCs w:val="22"/>
        </w:rPr>
        <w:t xml:space="preserve"> that </w:t>
      </w:r>
      <w:r w:rsidR="003539E3" w:rsidRPr="0036110E">
        <w:rPr>
          <w:rFonts w:ascii="Verdana" w:hAnsi="Verdana" w:cs="Arial"/>
          <w:sz w:val="22"/>
          <w:szCs w:val="22"/>
        </w:rPr>
        <w:t>the</w:t>
      </w:r>
      <w:r w:rsidRPr="0036110E">
        <w:rPr>
          <w:rFonts w:ascii="Verdana" w:hAnsi="Verdana" w:cs="Arial"/>
          <w:sz w:val="22"/>
          <w:szCs w:val="22"/>
        </w:rPr>
        <w:t xml:space="preserve"> Council has used the HMRC flat rate for payment of mileage for Councillors and recommends that this continues. </w:t>
      </w:r>
      <w:r w:rsidR="00B2108F">
        <w:rPr>
          <w:rFonts w:ascii="Verdana" w:hAnsi="Verdana" w:cs="Arial"/>
          <w:sz w:val="22"/>
          <w:szCs w:val="22"/>
        </w:rPr>
        <w:t xml:space="preserve">It should </w:t>
      </w:r>
      <w:r w:rsidR="004358EE">
        <w:rPr>
          <w:rFonts w:ascii="Verdana" w:hAnsi="Verdana" w:cs="Arial"/>
          <w:sz w:val="22"/>
          <w:szCs w:val="22"/>
        </w:rPr>
        <w:t xml:space="preserve">also </w:t>
      </w:r>
      <w:r w:rsidR="00B2108F">
        <w:rPr>
          <w:rFonts w:ascii="Verdana" w:hAnsi="Verdana" w:cs="Arial"/>
          <w:sz w:val="22"/>
          <w:szCs w:val="22"/>
        </w:rPr>
        <w:t>be noted that HMRC recommends a 4p per mile payment for electric business vehicles.</w:t>
      </w:r>
    </w:p>
    <w:p w14:paraId="00F0DBC8" w14:textId="77777777" w:rsidR="005D7A54" w:rsidRPr="0036110E" w:rsidRDefault="005D7A54" w:rsidP="0007325E">
      <w:pPr>
        <w:ind w:right="-142"/>
        <w:jc w:val="both"/>
        <w:rPr>
          <w:rFonts w:ascii="Verdana" w:hAnsi="Verdana" w:cs="Arial"/>
          <w:sz w:val="22"/>
          <w:szCs w:val="22"/>
        </w:rPr>
      </w:pPr>
    </w:p>
    <w:p w14:paraId="332C3643" w14:textId="77777777" w:rsidR="005D7A54" w:rsidRPr="0036110E" w:rsidRDefault="005D7A54" w:rsidP="0007325E">
      <w:pPr>
        <w:ind w:right="-142"/>
        <w:jc w:val="both"/>
        <w:rPr>
          <w:rFonts w:ascii="Verdana" w:hAnsi="Verdana" w:cs="Arial"/>
          <w:sz w:val="22"/>
          <w:szCs w:val="22"/>
        </w:rPr>
      </w:pPr>
      <w:r w:rsidRPr="0036110E">
        <w:rPr>
          <w:rFonts w:ascii="Verdana" w:hAnsi="Verdana" w:cs="Arial"/>
          <w:sz w:val="22"/>
          <w:szCs w:val="22"/>
        </w:rPr>
        <w:t>The Panel is satisfied that the current levels of subsistence allowances are set at an appropriate level and recommends that these continue.</w:t>
      </w:r>
    </w:p>
    <w:p w14:paraId="422A816E" w14:textId="77777777" w:rsidR="005D7A54" w:rsidRPr="0036110E" w:rsidRDefault="005D7A54" w:rsidP="0007325E">
      <w:pPr>
        <w:ind w:right="-142"/>
        <w:jc w:val="both"/>
        <w:rPr>
          <w:rFonts w:ascii="Verdana" w:hAnsi="Verdana" w:cs="Arial"/>
          <w:sz w:val="22"/>
          <w:szCs w:val="22"/>
        </w:rPr>
      </w:pPr>
    </w:p>
    <w:p w14:paraId="73B43D2D" w14:textId="77777777" w:rsidR="00383C76" w:rsidRPr="0036110E" w:rsidRDefault="005D7A54" w:rsidP="0007325E">
      <w:pPr>
        <w:ind w:right="-142"/>
        <w:jc w:val="both"/>
        <w:rPr>
          <w:rFonts w:ascii="Verdana" w:hAnsi="Verdana" w:cs="Arial"/>
          <w:sz w:val="22"/>
          <w:szCs w:val="22"/>
        </w:rPr>
      </w:pPr>
      <w:r w:rsidRPr="0036110E">
        <w:rPr>
          <w:rFonts w:ascii="Verdana" w:hAnsi="Verdana" w:cs="Arial"/>
          <w:sz w:val="22"/>
          <w:szCs w:val="22"/>
        </w:rPr>
        <w:t>The Panel notes that the Council’s Scheme of Members’ Allowances provides that Dependant Care</w:t>
      </w:r>
      <w:r w:rsidR="00124730" w:rsidRPr="0036110E">
        <w:rPr>
          <w:rFonts w:ascii="Verdana" w:hAnsi="Verdana" w:cs="Arial"/>
          <w:sz w:val="22"/>
          <w:szCs w:val="22"/>
        </w:rPr>
        <w:t>r</w:t>
      </w:r>
      <w:r w:rsidRPr="0036110E">
        <w:rPr>
          <w:rFonts w:ascii="Verdana" w:hAnsi="Verdana" w:cs="Arial"/>
          <w:sz w:val="22"/>
          <w:szCs w:val="22"/>
        </w:rPr>
        <w:t xml:space="preserve"> Allowances are payable to cover reasonable and legitimate costs incurred in attending approved duties and recommends that this provision continues.</w:t>
      </w:r>
    </w:p>
    <w:p w14:paraId="649BD232" w14:textId="77777777" w:rsidR="009B06CF" w:rsidRPr="0036110E" w:rsidRDefault="009B06CF" w:rsidP="0036110E">
      <w:pPr>
        <w:ind w:right="-521"/>
        <w:rPr>
          <w:rFonts w:ascii="Verdana" w:hAnsi="Verdana" w:cs="Arial"/>
          <w:b/>
          <w:sz w:val="22"/>
          <w:szCs w:val="22"/>
          <w:u w:val="single"/>
        </w:rPr>
      </w:pPr>
    </w:p>
    <w:p w14:paraId="48DBA2E7" w14:textId="77777777" w:rsidR="005D7A54" w:rsidRPr="0036110E" w:rsidRDefault="005D7A54" w:rsidP="0036110E">
      <w:pPr>
        <w:ind w:right="-521"/>
        <w:rPr>
          <w:rFonts w:ascii="Verdana" w:hAnsi="Verdana" w:cs="Arial"/>
          <w:b/>
          <w:sz w:val="22"/>
          <w:szCs w:val="22"/>
          <w:u w:val="single"/>
        </w:rPr>
      </w:pPr>
      <w:r w:rsidRPr="0036110E">
        <w:rPr>
          <w:rFonts w:ascii="Verdana" w:hAnsi="Verdana" w:cs="Arial"/>
          <w:b/>
          <w:sz w:val="22"/>
          <w:szCs w:val="22"/>
          <w:u w:val="single"/>
        </w:rPr>
        <w:t>Allowances to Parish Councils</w:t>
      </w:r>
      <w:r w:rsidR="00934569">
        <w:rPr>
          <w:rFonts w:ascii="Verdana" w:hAnsi="Verdana" w:cs="Arial"/>
          <w:b/>
          <w:sz w:val="22"/>
          <w:szCs w:val="22"/>
          <w:u w:val="single"/>
        </w:rPr>
        <w:t xml:space="preserve"> </w:t>
      </w:r>
      <w:r w:rsidR="000575F6">
        <w:rPr>
          <w:rFonts w:ascii="Verdana" w:hAnsi="Verdana" w:cs="Arial"/>
          <w:b/>
          <w:sz w:val="22"/>
          <w:szCs w:val="22"/>
          <w:u w:val="single"/>
        </w:rPr>
        <w:t>202</w:t>
      </w:r>
      <w:r w:rsidR="00ED59B9">
        <w:rPr>
          <w:rFonts w:ascii="Verdana" w:hAnsi="Verdana" w:cs="Arial"/>
          <w:b/>
          <w:sz w:val="22"/>
          <w:szCs w:val="22"/>
          <w:u w:val="single"/>
        </w:rPr>
        <w:t>1</w:t>
      </w:r>
      <w:r w:rsidR="000575F6">
        <w:rPr>
          <w:rFonts w:ascii="Verdana" w:hAnsi="Verdana" w:cs="Arial"/>
          <w:b/>
          <w:sz w:val="22"/>
          <w:szCs w:val="22"/>
          <w:u w:val="single"/>
        </w:rPr>
        <w:t>-2</w:t>
      </w:r>
      <w:r w:rsidR="00ED59B9">
        <w:rPr>
          <w:rFonts w:ascii="Verdana" w:hAnsi="Verdana" w:cs="Arial"/>
          <w:b/>
          <w:sz w:val="22"/>
          <w:szCs w:val="22"/>
          <w:u w:val="single"/>
        </w:rPr>
        <w:t>2</w:t>
      </w:r>
      <w:r w:rsidR="00934569">
        <w:rPr>
          <w:rFonts w:ascii="Verdana" w:hAnsi="Verdana" w:cs="Arial"/>
          <w:b/>
          <w:sz w:val="22"/>
          <w:szCs w:val="22"/>
          <w:u w:val="single"/>
        </w:rPr>
        <w:t xml:space="preserve"> </w:t>
      </w:r>
    </w:p>
    <w:p w14:paraId="2D05507C" w14:textId="77777777" w:rsidR="005D7A54" w:rsidRPr="0036110E" w:rsidRDefault="005D7A54" w:rsidP="0036110E">
      <w:pPr>
        <w:ind w:right="-521"/>
        <w:rPr>
          <w:rFonts w:ascii="Verdana" w:hAnsi="Verdana" w:cs="Arial"/>
          <w:b/>
          <w:sz w:val="22"/>
          <w:szCs w:val="22"/>
          <w:u w:val="single"/>
        </w:rPr>
      </w:pPr>
    </w:p>
    <w:p w14:paraId="3FED7359" w14:textId="77777777" w:rsidR="005D7A54" w:rsidRPr="0036110E" w:rsidRDefault="005D7A54" w:rsidP="0007325E">
      <w:pPr>
        <w:ind w:right="-142"/>
        <w:jc w:val="both"/>
        <w:rPr>
          <w:rFonts w:ascii="Verdana" w:hAnsi="Verdana" w:cs="Arial"/>
          <w:sz w:val="22"/>
          <w:szCs w:val="22"/>
        </w:rPr>
      </w:pPr>
      <w:r w:rsidRPr="0036110E">
        <w:rPr>
          <w:rFonts w:ascii="Verdana" w:hAnsi="Verdana" w:cs="Arial"/>
          <w:sz w:val="22"/>
          <w:szCs w:val="22"/>
        </w:rPr>
        <w:t>The Independent Remuneration Panel for Worcestershire District Councils acts as the Remuneration Panel for the Parish Councils in each District.</w:t>
      </w:r>
    </w:p>
    <w:p w14:paraId="136EF00E" w14:textId="77777777" w:rsidR="005D7A54" w:rsidRPr="0036110E" w:rsidRDefault="005D7A54" w:rsidP="0007325E">
      <w:pPr>
        <w:ind w:right="-142"/>
        <w:jc w:val="both"/>
        <w:rPr>
          <w:rFonts w:ascii="Verdana" w:hAnsi="Verdana" w:cs="Arial"/>
          <w:sz w:val="22"/>
          <w:szCs w:val="22"/>
        </w:rPr>
      </w:pPr>
    </w:p>
    <w:p w14:paraId="21FC10F2" w14:textId="77777777" w:rsidR="00895598" w:rsidRDefault="00EA3B30" w:rsidP="0007325E">
      <w:pPr>
        <w:ind w:right="-142"/>
        <w:jc w:val="both"/>
        <w:rPr>
          <w:rFonts w:ascii="Verdana" w:hAnsi="Verdana" w:cs="Arial"/>
          <w:sz w:val="22"/>
          <w:szCs w:val="22"/>
        </w:rPr>
      </w:pPr>
      <w:r w:rsidRPr="0036110E">
        <w:rPr>
          <w:rFonts w:ascii="Verdana" w:hAnsi="Verdana" w:cs="Arial"/>
          <w:sz w:val="22"/>
          <w:szCs w:val="22"/>
        </w:rPr>
        <w:t>This year the Panel has not been asked to make recommendations on any matters by any Parish in Bromsgrove</w:t>
      </w:r>
      <w:r w:rsidR="00F7376C" w:rsidRPr="0036110E">
        <w:rPr>
          <w:rFonts w:ascii="Verdana" w:hAnsi="Verdana" w:cs="Arial"/>
          <w:sz w:val="22"/>
          <w:szCs w:val="22"/>
        </w:rPr>
        <w:t>/Malvern Hills/Redditch/Worcester City/ Wychavon</w:t>
      </w:r>
      <w:r w:rsidRPr="0036110E">
        <w:rPr>
          <w:rFonts w:ascii="Verdana" w:hAnsi="Verdana" w:cs="Arial"/>
          <w:sz w:val="22"/>
          <w:szCs w:val="22"/>
        </w:rPr>
        <w:t xml:space="preserve">.  </w:t>
      </w:r>
    </w:p>
    <w:p w14:paraId="5E22CECE" w14:textId="77777777" w:rsidR="0036110E" w:rsidRPr="0036110E" w:rsidRDefault="0036110E" w:rsidP="0036110E">
      <w:pPr>
        <w:ind w:right="-521"/>
        <w:rPr>
          <w:rFonts w:ascii="Verdana" w:hAnsi="Verdana" w:cs="Arial"/>
          <w:b/>
          <w:i/>
          <w:sz w:val="22"/>
          <w:szCs w:val="22"/>
        </w:rPr>
      </w:pPr>
    </w:p>
    <w:p w14:paraId="7864AC32" w14:textId="77777777" w:rsidR="000024B0" w:rsidRPr="0036110E" w:rsidRDefault="000024B0" w:rsidP="0036110E">
      <w:pPr>
        <w:ind w:right="-521"/>
        <w:rPr>
          <w:rFonts w:ascii="Verdana" w:hAnsi="Verdana" w:cs="Arial"/>
          <w:b/>
          <w:sz w:val="22"/>
          <w:szCs w:val="22"/>
          <w:u w:val="single"/>
        </w:rPr>
      </w:pPr>
      <w:r w:rsidRPr="0036110E">
        <w:rPr>
          <w:rFonts w:ascii="Verdana" w:hAnsi="Verdana" w:cs="Arial"/>
          <w:b/>
          <w:sz w:val="22"/>
          <w:szCs w:val="22"/>
          <w:u w:val="single"/>
        </w:rPr>
        <w:t>The Independent Remuneration Panel</w:t>
      </w:r>
    </w:p>
    <w:p w14:paraId="492EE191" w14:textId="77777777" w:rsidR="000024B0" w:rsidRPr="0036110E" w:rsidRDefault="000024B0" w:rsidP="0036110E">
      <w:pPr>
        <w:ind w:right="-521"/>
        <w:rPr>
          <w:rFonts w:ascii="Verdana" w:hAnsi="Verdana" w:cs="Arial"/>
          <w:sz w:val="22"/>
          <w:szCs w:val="22"/>
        </w:rPr>
      </w:pPr>
    </w:p>
    <w:p w14:paraId="269044A1" w14:textId="1236C077" w:rsidR="00067736" w:rsidRDefault="00067736" w:rsidP="0007325E">
      <w:pPr>
        <w:ind w:right="-142"/>
        <w:jc w:val="both"/>
        <w:rPr>
          <w:rFonts w:ascii="Verdana" w:hAnsi="Verdana" w:cs="Arial"/>
          <w:sz w:val="22"/>
          <w:szCs w:val="22"/>
        </w:rPr>
      </w:pPr>
      <w:r w:rsidRPr="0036110E">
        <w:rPr>
          <w:rFonts w:ascii="Verdana" w:hAnsi="Verdana" w:cs="Arial"/>
          <w:sz w:val="22"/>
          <w:szCs w:val="22"/>
        </w:rPr>
        <w:t xml:space="preserve">The </w:t>
      </w:r>
      <w:r w:rsidRPr="0036110E">
        <w:rPr>
          <w:rFonts w:ascii="Verdana" w:hAnsi="Verdana" w:cs="Arial"/>
          <w:iCs/>
          <w:sz w:val="22"/>
          <w:szCs w:val="22"/>
        </w:rPr>
        <w:t xml:space="preserve">Members’ Allowances Regulations </w:t>
      </w:r>
      <w:r w:rsidRPr="0036110E">
        <w:rPr>
          <w:rFonts w:ascii="Verdana" w:hAnsi="Verdana" w:cs="Arial"/>
          <w:sz w:val="22"/>
          <w:szCs w:val="22"/>
        </w:rPr>
        <w:t>require Local Authorities to establish and maintain an</w:t>
      </w:r>
      <w:r w:rsidR="004D1F3F" w:rsidRPr="0036110E">
        <w:rPr>
          <w:rFonts w:ascii="Verdana" w:hAnsi="Verdana" w:cs="Arial"/>
          <w:sz w:val="22"/>
          <w:szCs w:val="22"/>
        </w:rPr>
        <w:t xml:space="preserve"> Independent Remuneration Panel</w:t>
      </w:r>
      <w:r w:rsidR="00547861">
        <w:rPr>
          <w:rFonts w:ascii="Verdana" w:hAnsi="Verdana" w:cs="Arial"/>
          <w:sz w:val="22"/>
          <w:szCs w:val="22"/>
        </w:rPr>
        <w:t xml:space="preserve">. </w:t>
      </w:r>
      <w:r w:rsidRPr="0036110E">
        <w:rPr>
          <w:rFonts w:ascii="Verdana" w:hAnsi="Verdana" w:cs="Arial"/>
          <w:sz w:val="22"/>
          <w:szCs w:val="22"/>
        </w:rPr>
        <w:t xml:space="preserve">The purpose of the Panel is to make recommendations to the authority about allowances to </w:t>
      </w:r>
      <w:r w:rsidR="00CA51BD" w:rsidRPr="0036110E">
        <w:rPr>
          <w:rFonts w:ascii="Verdana" w:hAnsi="Verdana" w:cs="Arial"/>
          <w:sz w:val="22"/>
          <w:szCs w:val="22"/>
        </w:rPr>
        <w:t>be paid to Elected Members and L</w:t>
      </w:r>
      <w:r w:rsidRPr="0036110E">
        <w:rPr>
          <w:rFonts w:ascii="Verdana" w:hAnsi="Verdana" w:cs="Arial"/>
          <w:sz w:val="22"/>
          <w:szCs w:val="22"/>
        </w:rPr>
        <w:t xml:space="preserve">ocal </w:t>
      </w:r>
      <w:r w:rsidR="00CA51BD" w:rsidRPr="0036110E">
        <w:rPr>
          <w:rFonts w:ascii="Verdana" w:hAnsi="Verdana" w:cs="Arial"/>
          <w:sz w:val="22"/>
          <w:szCs w:val="22"/>
        </w:rPr>
        <w:t>A</w:t>
      </w:r>
      <w:r w:rsidRPr="0036110E">
        <w:rPr>
          <w:rFonts w:ascii="Verdana" w:hAnsi="Verdana" w:cs="Arial"/>
          <w:sz w:val="22"/>
          <w:szCs w:val="22"/>
        </w:rPr>
        <w:t>uthorities mu</w:t>
      </w:r>
      <w:r w:rsidR="00547861">
        <w:rPr>
          <w:rFonts w:ascii="Verdana" w:hAnsi="Verdana" w:cs="Arial"/>
          <w:sz w:val="22"/>
          <w:szCs w:val="22"/>
        </w:rPr>
        <w:t xml:space="preserve">st have regard to this advice. </w:t>
      </w:r>
      <w:r w:rsidRPr="0036110E">
        <w:rPr>
          <w:rFonts w:ascii="Verdana" w:hAnsi="Verdana" w:cs="Arial"/>
          <w:sz w:val="22"/>
          <w:szCs w:val="22"/>
        </w:rPr>
        <w:t xml:space="preserve">This Council’s Independent Remuneration Panel is set up on a joint basis with </w:t>
      </w:r>
      <w:r w:rsidR="0040033A" w:rsidRPr="0036110E">
        <w:rPr>
          <w:rFonts w:ascii="Verdana" w:hAnsi="Verdana" w:cs="Arial"/>
          <w:sz w:val="22"/>
          <w:szCs w:val="22"/>
        </w:rPr>
        <w:t xml:space="preserve">4 of the other </w:t>
      </w:r>
      <w:r w:rsidR="00A227B6" w:rsidRPr="0036110E">
        <w:rPr>
          <w:rFonts w:ascii="Verdana" w:hAnsi="Verdana" w:cs="Arial"/>
          <w:sz w:val="22"/>
          <w:szCs w:val="22"/>
        </w:rPr>
        <w:t>5 District Councils in Worc</w:t>
      </w:r>
      <w:r w:rsidR="002A7E88" w:rsidRPr="0036110E">
        <w:rPr>
          <w:rFonts w:ascii="Verdana" w:hAnsi="Verdana" w:cs="Arial"/>
          <w:sz w:val="22"/>
          <w:szCs w:val="22"/>
        </w:rPr>
        <w:t>estershire</w:t>
      </w:r>
      <w:r w:rsidR="0040033A" w:rsidRPr="0036110E">
        <w:rPr>
          <w:rFonts w:ascii="Verdana" w:hAnsi="Verdana" w:cs="Arial"/>
          <w:sz w:val="22"/>
          <w:szCs w:val="22"/>
        </w:rPr>
        <w:t xml:space="preserve">. </w:t>
      </w:r>
      <w:r w:rsidRPr="0036110E">
        <w:rPr>
          <w:rFonts w:ascii="Verdana" w:hAnsi="Verdana" w:cs="Arial"/>
          <w:sz w:val="22"/>
          <w:szCs w:val="22"/>
        </w:rPr>
        <w:t>Separate Annual Reports have been prepared for each Council.</w:t>
      </w:r>
    </w:p>
    <w:p w14:paraId="07A59CDF" w14:textId="77777777" w:rsidR="00CE578A" w:rsidRDefault="00CE578A" w:rsidP="0007325E">
      <w:pPr>
        <w:ind w:right="-142"/>
        <w:jc w:val="both"/>
        <w:rPr>
          <w:rFonts w:ascii="Verdana" w:hAnsi="Verdana" w:cs="Arial"/>
          <w:sz w:val="22"/>
          <w:szCs w:val="22"/>
        </w:rPr>
      </w:pPr>
    </w:p>
    <w:p w14:paraId="777FDC51" w14:textId="77777777" w:rsidR="004668DA" w:rsidRPr="0036110E" w:rsidRDefault="00807BF5" w:rsidP="0007325E">
      <w:pPr>
        <w:ind w:right="-142"/>
        <w:jc w:val="both"/>
        <w:rPr>
          <w:rFonts w:ascii="Verdana" w:hAnsi="Verdana" w:cs="Arial"/>
          <w:sz w:val="22"/>
          <w:szCs w:val="22"/>
        </w:rPr>
      </w:pPr>
      <w:r>
        <w:rPr>
          <w:rFonts w:ascii="Verdana" w:hAnsi="Verdana" w:cs="Arial"/>
          <w:sz w:val="22"/>
          <w:szCs w:val="22"/>
        </w:rPr>
        <w:lastRenderedPageBreak/>
        <w:t xml:space="preserve">The </w:t>
      </w:r>
      <w:r w:rsidR="004668DA" w:rsidRPr="0036110E">
        <w:rPr>
          <w:rFonts w:ascii="Verdana" w:hAnsi="Verdana" w:cs="Arial"/>
          <w:sz w:val="22"/>
          <w:szCs w:val="22"/>
        </w:rPr>
        <w:t xml:space="preserve">members of the Panel </w:t>
      </w:r>
      <w:r w:rsidR="00BD601F" w:rsidRPr="0036110E">
        <w:rPr>
          <w:rFonts w:ascii="Verdana" w:hAnsi="Verdana" w:cs="Arial"/>
          <w:sz w:val="22"/>
          <w:szCs w:val="22"/>
        </w:rPr>
        <w:t>are</w:t>
      </w:r>
      <w:r w:rsidR="004668DA" w:rsidRPr="0036110E">
        <w:rPr>
          <w:rFonts w:ascii="Verdana" w:hAnsi="Verdana" w:cs="Arial"/>
          <w:sz w:val="22"/>
          <w:szCs w:val="22"/>
        </w:rPr>
        <w:t xml:space="preserve">: </w:t>
      </w:r>
    </w:p>
    <w:p w14:paraId="7F34104D" w14:textId="77777777" w:rsidR="004668DA" w:rsidRPr="0036110E" w:rsidRDefault="004668DA" w:rsidP="0007325E">
      <w:pPr>
        <w:ind w:right="-142"/>
        <w:jc w:val="both"/>
        <w:rPr>
          <w:rFonts w:ascii="Verdana" w:hAnsi="Verdana" w:cs="Arial"/>
          <w:sz w:val="22"/>
          <w:szCs w:val="22"/>
        </w:rPr>
      </w:pPr>
    </w:p>
    <w:p w14:paraId="0B624400" w14:textId="598250DF" w:rsidR="00C11471" w:rsidRPr="0007325E" w:rsidRDefault="00E0776E" w:rsidP="0007325E">
      <w:pPr>
        <w:pStyle w:val="yiv3293508355msonormal"/>
        <w:spacing w:before="0" w:beforeAutospacing="0" w:after="0" w:afterAutospacing="0"/>
        <w:ind w:right="-142"/>
        <w:jc w:val="both"/>
        <w:textAlignment w:val="baseline"/>
        <w:rPr>
          <w:rFonts w:ascii="Verdana" w:hAnsi="Verdana"/>
          <w:color w:val="000000"/>
          <w:sz w:val="22"/>
          <w:szCs w:val="22"/>
        </w:rPr>
      </w:pPr>
      <w:r w:rsidRPr="00E0776E">
        <w:rPr>
          <w:rFonts w:ascii="Verdana" w:hAnsi="Verdana" w:cs="Arial"/>
          <w:b/>
          <w:sz w:val="22"/>
          <w:szCs w:val="22"/>
        </w:rPr>
        <w:t>Caroline Murphy</w:t>
      </w:r>
      <w:r>
        <w:rPr>
          <w:rFonts w:ascii="Verdana" w:hAnsi="Verdana" w:cs="Arial"/>
          <w:sz w:val="22"/>
          <w:szCs w:val="22"/>
        </w:rPr>
        <w:t xml:space="preserve"> –</w:t>
      </w:r>
      <w:r w:rsidR="00DB03F9">
        <w:rPr>
          <w:rFonts w:ascii="Verdana" w:hAnsi="Verdana" w:cs="Arial"/>
          <w:sz w:val="22"/>
          <w:szCs w:val="22"/>
        </w:rPr>
        <w:t xml:space="preserve"> </w:t>
      </w:r>
      <w:r w:rsidR="0072594B" w:rsidRPr="0072594B">
        <w:rPr>
          <w:rFonts w:ascii="Verdana" w:hAnsi="Verdana"/>
          <w:color w:val="000000"/>
          <w:sz w:val="22"/>
          <w:szCs w:val="22"/>
        </w:rPr>
        <w:t xml:space="preserve">Caroline has </w:t>
      </w:r>
      <w:r w:rsidR="00547861">
        <w:rPr>
          <w:rFonts w:ascii="Verdana" w:hAnsi="Verdana"/>
          <w:color w:val="000000"/>
          <w:sz w:val="22"/>
          <w:szCs w:val="22"/>
        </w:rPr>
        <w:t xml:space="preserve">over </w:t>
      </w:r>
      <w:r w:rsidR="0072594B" w:rsidRPr="0072594B">
        <w:rPr>
          <w:rFonts w:ascii="Verdana" w:hAnsi="Verdana"/>
          <w:color w:val="000000"/>
          <w:sz w:val="22"/>
          <w:szCs w:val="22"/>
        </w:rPr>
        <w:t>20 years’ experience of working in public and voluntary sector organisations, including three West Midlands Local Authorities and the Civil Service. She was a senior Education Manager at Wolverhampton City Council until 2011 developing and delivering a large part of the 14-19 Pathfinder, during which time her department was recognised as achieving Beacon Council Status. She has a wealth of experience at building partnerships. Caroline now works as freelance Education, Skills and Development Adviser supporting individuals and organisations with strategic management, quality assurance and improvement, safeguarding, regulation compliance, research and evaluation, data protection and developing policies and procedures. She has worked in a consultancy capacity for a number of organisations, specialising in those who support vulnerable young people. She also spent 14 years as the Vice Chair of Governors of a primary school in Birmingham.</w:t>
      </w:r>
    </w:p>
    <w:p w14:paraId="53D76860" w14:textId="77777777" w:rsidR="0007325E" w:rsidRPr="0072594B" w:rsidRDefault="0007325E" w:rsidP="0036110E">
      <w:pPr>
        <w:ind w:right="-521"/>
        <w:rPr>
          <w:rFonts w:ascii="Verdana" w:hAnsi="Verdana" w:cs="Arial"/>
          <w:sz w:val="22"/>
          <w:szCs w:val="22"/>
        </w:rPr>
      </w:pPr>
    </w:p>
    <w:p w14:paraId="09CC0372" w14:textId="77777777" w:rsidR="00E0776E" w:rsidRDefault="00E0776E" w:rsidP="0007325E">
      <w:pPr>
        <w:ind w:right="-142"/>
        <w:jc w:val="both"/>
        <w:rPr>
          <w:rFonts w:ascii="Verdana" w:eastAsiaTheme="minorHAnsi" w:hAnsi="Verdana" w:cstheme="minorBidi"/>
          <w:sz w:val="22"/>
          <w:szCs w:val="22"/>
          <w:lang w:eastAsia="en-US"/>
        </w:rPr>
      </w:pPr>
      <w:r w:rsidRPr="00E0776E">
        <w:rPr>
          <w:rFonts w:ascii="Verdana" w:hAnsi="Verdana" w:cs="Arial"/>
          <w:b/>
          <w:sz w:val="22"/>
          <w:szCs w:val="22"/>
        </w:rPr>
        <w:t>Jonathan Glover</w:t>
      </w:r>
      <w:r>
        <w:rPr>
          <w:rFonts w:ascii="Verdana" w:hAnsi="Verdana" w:cs="Arial"/>
          <w:sz w:val="22"/>
          <w:szCs w:val="22"/>
        </w:rPr>
        <w:t xml:space="preserve"> –</w:t>
      </w:r>
      <w:r w:rsidR="00FB2292">
        <w:rPr>
          <w:rFonts w:asciiTheme="minorHAnsi" w:eastAsiaTheme="minorHAnsi" w:hAnsiTheme="minorHAnsi" w:cstheme="minorBidi"/>
          <w:b/>
          <w:sz w:val="22"/>
          <w:szCs w:val="22"/>
          <w:lang w:eastAsia="en-US"/>
        </w:rPr>
        <w:t xml:space="preserve"> </w:t>
      </w:r>
      <w:r w:rsidR="00FB2292" w:rsidRPr="00FB2292">
        <w:rPr>
          <w:rFonts w:ascii="Verdana" w:eastAsiaTheme="minorHAnsi" w:hAnsi="Verdana" w:cstheme="minorBidi"/>
          <w:sz w:val="22"/>
          <w:szCs w:val="22"/>
          <w:lang w:eastAsia="en-US"/>
        </w:rPr>
        <w:t xml:space="preserve">Jonathan has over 30 years experience working in central and local government. He has worked mostly in central government, in a range of departments and disciplines. These include: regional finance and accounts; building management; personnel management; contract management. At a local level he specialised in employment support for people with disabilities. Returning to a regional role, he ensured projects throughout the West Midlands region, which were receiving European Commission grants, complied with EC financial and regulatory compliance. Since leaving the civil service he has worked in both the public and private sector. Jonathan was a governor at his local junior school for eight years. He was vice chair of the full governing body, representing the school at Ofsted inspection and appeal panels; chair of its curriculum sub committee; and a member of personal and finance sub committees. He was a member of several recruitment and interview panels, including for a new headteacher.   </w:t>
      </w:r>
    </w:p>
    <w:p w14:paraId="72ACD459" w14:textId="77777777" w:rsidR="00CE578A" w:rsidRDefault="00CE578A" w:rsidP="0036110E">
      <w:pPr>
        <w:ind w:right="-521"/>
        <w:rPr>
          <w:rFonts w:ascii="Verdana" w:hAnsi="Verdana" w:cs="Arial"/>
          <w:sz w:val="22"/>
          <w:szCs w:val="22"/>
        </w:rPr>
      </w:pPr>
    </w:p>
    <w:p w14:paraId="6B5B536A" w14:textId="77777777" w:rsidR="00E0776E" w:rsidRDefault="00E0776E" w:rsidP="0007325E">
      <w:pPr>
        <w:pStyle w:val="PlainText"/>
        <w:ind w:right="-142"/>
        <w:jc w:val="both"/>
        <w:rPr>
          <w:rFonts w:ascii="Verdana" w:hAnsi="Verdana" w:cs="Arial"/>
          <w:szCs w:val="22"/>
        </w:rPr>
      </w:pPr>
      <w:r w:rsidRPr="00E0776E">
        <w:rPr>
          <w:rFonts w:ascii="Verdana" w:hAnsi="Verdana" w:cs="Arial"/>
          <w:b/>
          <w:szCs w:val="22"/>
        </w:rPr>
        <w:t>Reuben Bergman</w:t>
      </w:r>
      <w:r>
        <w:rPr>
          <w:rFonts w:ascii="Verdana" w:hAnsi="Verdana" w:cs="Arial"/>
          <w:szCs w:val="22"/>
        </w:rPr>
        <w:t xml:space="preserve"> –</w:t>
      </w:r>
      <w:r w:rsidR="00C11471">
        <w:rPr>
          <w:rFonts w:ascii="Verdana" w:hAnsi="Verdana" w:cs="Arial"/>
          <w:szCs w:val="22"/>
        </w:rPr>
        <w:t xml:space="preserve"> </w:t>
      </w:r>
      <w:r w:rsidR="00C11471" w:rsidRPr="00C11471">
        <w:rPr>
          <w:rFonts w:ascii="Verdana" w:hAnsi="Verdana"/>
        </w:rPr>
        <w:t>Reuben Bergman – Reuben is a Fellow of the CIPD with significant senior HR leadership experience across a range of public sector organisations in both England and Wales. He currently runs a HR Consultancy Business in Worcestershire providing advice and support on managing change, employment law, HR policy development, mediation, management coaching and employee relations. Reuben has led successful equal pay reviews in three separate local authorities and is known for his successful work in managing change and developing effective employee relations. He is a qualified coach, mediator and a Shared Service architect. He has won national awards for his work on employee engagement and the development of an innovative Café style leadership development programme.</w:t>
      </w:r>
    </w:p>
    <w:p w14:paraId="299BF7BB" w14:textId="77777777" w:rsidR="00E0776E" w:rsidRDefault="00E0776E" w:rsidP="0036110E">
      <w:pPr>
        <w:ind w:right="-521"/>
        <w:rPr>
          <w:rFonts w:ascii="Verdana" w:hAnsi="Verdana" w:cs="Arial"/>
          <w:sz w:val="22"/>
          <w:szCs w:val="22"/>
        </w:rPr>
      </w:pPr>
    </w:p>
    <w:p w14:paraId="7468054D" w14:textId="77777777" w:rsidR="006C6FA7" w:rsidRDefault="00501218" w:rsidP="006C6FA7">
      <w:pPr>
        <w:jc w:val="both"/>
        <w:rPr>
          <w:rFonts w:ascii="Verdana" w:hAnsi="Verdana"/>
          <w:sz w:val="22"/>
          <w:szCs w:val="22"/>
        </w:rPr>
      </w:pPr>
      <w:r w:rsidRPr="00417978">
        <w:rPr>
          <w:rFonts w:ascii="Verdana" w:hAnsi="Verdana"/>
          <w:b/>
          <w:bCs/>
          <w:sz w:val="22"/>
          <w:szCs w:val="22"/>
        </w:rPr>
        <w:t>Matthew Davies</w:t>
      </w:r>
      <w:r w:rsidRPr="00417978">
        <w:rPr>
          <w:rFonts w:ascii="Verdana" w:hAnsi="Verdana"/>
          <w:sz w:val="22"/>
          <w:szCs w:val="22"/>
        </w:rPr>
        <w:t xml:space="preserve"> – </w:t>
      </w:r>
      <w:r w:rsidR="006C6FA7" w:rsidRPr="006C6FA7">
        <w:rPr>
          <w:rFonts w:ascii="Verdana" w:hAnsi="Verdana"/>
          <w:sz w:val="22"/>
          <w:szCs w:val="22"/>
        </w:rPr>
        <w:t>Matthew qualified as a Social Worker in 2008 and subsequently worked with children and young people in Worcestershire, Jersey and Manchester. Latterly he is employed as a Registered Manager of an independent fostering agency, supporting and supervising approved foster carers to care for children and young people in care.</w:t>
      </w:r>
    </w:p>
    <w:p w14:paraId="5F7B7BE7" w14:textId="55A04DFD" w:rsidR="00501218" w:rsidRPr="00417978" w:rsidRDefault="00501218" w:rsidP="0007325E">
      <w:pPr>
        <w:ind w:right="-142"/>
        <w:jc w:val="both"/>
        <w:rPr>
          <w:rFonts w:ascii="Verdana" w:hAnsi="Verdana" w:cs="Arial"/>
          <w:sz w:val="22"/>
          <w:szCs w:val="22"/>
        </w:rPr>
      </w:pPr>
    </w:p>
    <w:p w14:paraId="1F4D24E3" w14:textId="77777777" w:rsidR="003539E3" w:rsidRPr="0036110E" w:rsidRDefault="00BC3F71" w:rsidP="00BC3F71">
      <w:pPr>
        <w:tabs>
          <w:tab w:val="left" w:pos="3570"/>
        </w:tabs>
        <w:ind w:right="-521"/>
        <w:rPr>
          <w:rFonts w:ascii="Verdana" w:hAnsi="Verdana" w:cs="Arial"/>
          <w:sz w:val="22"/>
          <w:szCs w:val="22"/>
        </w:rPr>
      </w:pPr>
      <w:r>
        <w:rPr>
          <w:rFonts w:ascii="Verdana" w:hAnsi="Verdana" w:cs="Arial"/>
          <w:sz w:val="22"/>
          <w:szCs w:val="22"/>
        </w:rPr>
        <w:tab/>
      </w:r>
    </w:p>
    <w:p w14:paraId="6D8CD561" w14:textId="77777777" w:rsidR="00A227B6" w:rsidRPr="0036110E" w:rsidRDefault="0036110E" w:rsidP="0036110E">
      <w:pPr>
        <w:ind w:hanging="851"/>
        <w:rPr>
          <w:rFonts w:ascii="Verdana" w:hAnsi="Verdana" w:cs="Arial"/>
          <w:sz w:val="22"/>
          <w:szCs w:val="22"/>
        </w:rPr>
      </w:pPr>
      <w:r w:rsidRPr="0036110E">
        <w:rPr>
          <w:rFonts w:ascii="Verdana" w:hAnsi="Verdana" w:cs="Arial"/>
          <w:sz w:val="22"/>
          <w:szCs w:val="22"/>
        </w:rPr>
        <w:tab/>
      </w:r>
      <w:r w:rsidR="001825A9" w:rsidRPr="0036110E">
        <w:rPr>
          <w:rFonts w:ascii="Verdana" w:hAnsi="Verdana" w:cs="Arial"/>
          <w:sz w:val="22"/>
          <w:szCs w:val="22"/>
        </w:rPr>
        <w:t>T</w:t>
      </w:r>
      <w:r w:rsidR="00A50D01" w:rsidRPr="0036110E">
        <w:rPr>
          <w:rFonts w:ascii="Verdana" w:hAnsi="Verdana" w:cs="Arial"/>
          <w:sz w:val="22"/>
          <w:szCs w:val="22"/>
        </w:rPr>
        <w:t>he Panel has been advised and assisted by</w:t>
      </w:r>
      <w:r w:rsidR="00A227B6" w:rsidRPr="0036110E">
        <w:rPr>
          <w:rFonts w:ascii="Verdana" w:hAnsi="Verdana" w:cs="Arial"/>
          <w:sz w:val="22"/>
          <w:szCs w:val="22"/>
        </w:rPr>
        <w:t>:</w:t>
      </w:r>
    </w:p>
    <w:p w14:paraId="4EE2DDED" w14:textId="77777777" w:rsidR="00303B22" w:rsidRPr="0036110E" w:rsidRDefault="00303B22" w:rsidP="0036110E">
      <w:pPr>
        <w:ind w:hanging="851"/>
        <w:rPr>
          <w:rFonts w:ascii="Verdana" w:hAnsi="Verdana" w:cs="Arial"/>
          <w:sz w:val="22"/>
          <w:szCs w:val="22"/>
        </w:rPr>
      </w:pPr>
    </w:p>
    <w:p w14:paraId="7068B851" w14:textId="6D2DDD2E" w:rsidR="00A227B6" w:rsidRPr="0036110E" w:rsidRDefault="00026B4F" w:rsidP="0036110E">
      <w:pPr>
        <w:numPr>
          <w:ilvl w:val="0"/>
          <w:numId w:val="3"/>
        </w:numPr>
        <w:tabs>
          <w:tab w:val="clear" w:pos="360"/>
        </w:tabs>
        <w:ind w:left="0" w:firstLine="0"/>
        <w:rPr>
          <w:rFonts w:ascii="Verdana" w:hAnsi="Verdana" w:cs="Arial"/>
          <w:sz w:val="22"/>
          <w:szCs w:val="22"/>
        </w:rPr>
      </w:pPr>
      <w:r w:rsidRPr="0036110E">
        <w:rPr>
          <w:rFonts w:ascii="Verdana" w:hAnsi="Verdana" w:cs="Arial"/>
          <w:sz w:val="22"/>
          <w:szCs w:val="22"/>
        </w:rPr>
        <w:t xml:space="preserve">Claire Chaplin </w:t>
      </w:r>
      <w:r w:rsidR="002A7E88" w:rsidRPr="0036110E">
        <w:rPr>
          <w:rFonts w:ascii="Verdana" w:hAnsi="Verdana" w:cs="Arial"/>
          <w:sz w:val="22"/>
          <w:szCs w:val="22"/>
        </w:rPr>
        <w:t xml:space="preserve">and Margaret Johnson </w:t>
      </w:r>
      <w:r w:rsidR="006408D3">
        <w:rPr>
          <w:rFonts w:ascii="Verdana" w:hAnsi="Verdana" w:cs="Arial"/>
          <w:sz w:val="22"/>
          <w:szCs w:val="22"/>
        </w:rPr>
        <w:t>from Worcester City Council</w:t>
      </w:r>
    </w:p>
    <w:p w14:paraId="7C73F8DA" w14:textId="407E4E9C" w:rsidR="0036110E" w:rsidRPr="0036110E" w:rsidRDefault="0036110E" w:rsidP="004358EE">
      <w:pPr>
        <w:numPr>
          <w:ilvl w:val="0"/>
          <w:numId w:val="3"/>
        </w:numPr>
        <w:tabs>
          <w:tab w:val="clear" w:pos="360"/>
        </w:tabs>
        <w:ind w:left="709" w:hanging="709"/>
        <w:rPr>
          <w:rFonts w:ascii="Verdana" w:hAnsi="Verdana" w:cs="Arial"/>
          <w:sz w:val="22"/>
          <w:szCs w:val="22"/>
        </w:rPr>
      </w:pPr>
      <w:r>
        <w:rPr>
          <w:rFonts w:ascii="Verdana" w:hAnsi="Verdana" w:cs="Arial"/>
          <w:sz w:val="22"/>
          <w:szCs w:val="22"/>
        </w:rPr>
        <w:t>Darren Whitney</w:t>
      </w:r>
      <w:r w:rsidR="004358EE">
        <w:rPr>
          <w:rFonts w:ascii="Verdana" w:hAnsi="Verdana" w:cs="Arial"/>
          <w:sz w:val="22"/>
          <w:szCs w:val="22"/>
        </w:rPr>
        <w:t>, Amanda Scarce</w:t>
      </w:r>
      <w:r w:rsidR="0051562E">
        <w:rPr>
          <w:rFonts w:ascii="Verdana" w:hAnsi="Verdana" w:cs="Arial"/>
          <w:sz w:val="22"/>
          <w:szCs w:val="22"/>
        </w:rPr>
        <w:t xml:space="preserve">, </w:t>
      </w:r>
      <w:r w:rsidR="004358EE">
        <w:rPr>
          <w:rFonts w:ascii="Verdana" w:hAnsi="Verdana" w:cs="Arial"/>
          <w:sz w:val="22"/>
          <w:szCs w:val="22"/>
        </w:rPr>
        <w:t>Jess Bayley</w:t>
      </w:r>
      <w:r w:rsidR="0051562E">
        <w:rPr>
          <w:rFonts w:ascii="Verdana" w:hAnsi="Verdana" w:cs="Arial"/>
          <w:sz w:val="22"/>
          <w:szCs w:val="22"/>
        </w:rPr>
        <w:t xml:space="preserve"> and Sarah Sellers</w:t>
      </w:r>
      <w:r>
        <w:rPr>
          <w:rFonts w:ascii="Verdana" w:hAnsi="Verdana" w:cs="Arial"/>
          <w:sz w:val="22"/>
          <w:szCs w:val="22"/>
        </w:rPr>
        <w:t xml:space="preserve"> from Bromsgrove </w:t>
      </w:r>
      <w:r w:rsidR="00C54F6C">
        <w:rPr>
          <w:rFonts w:ascii="Verdana" w:hAnsi="Verdana" w:cs="Arial"/>
          <w:sz w:val="22"/>
          <w:szCs w:val="22"/>
        </w:rPr>
        <w:t>&amp;</w:t>
      </w:r>
      <w:r w:rsidR="006408D3">
        <w:rPr>
          <w:rFonts w:ascii="Verdana" w:hAnsi="Verdana" w:cs="Arial"/>
          <w:sz w:val="22"/>
          <w:szCs w:val="22"/>
        </w:rPr>
        <w:t xml:space="preserve"> Redditch Councils</w:t>
      </w:r>
    </w:p>
    <w:p w14:paraId="081EC619" w14:textId="787B8127" w:rsidR="00440967" w:rsidRPr="0036110E" w:rsidRDefault="003539E3" w:rsidP="0036110E">
      <w:pPr>
        <w:numPr>
          <w:ilvl w:val="0"/>
          <w:numId w:val="3"/>
        </w:numPr>
        <w:tabs>
          <w:tab w:val="clear" w:pos="360"/>
        </w:tabs>
        <w:ind w:left="0" w:firstLine="0"/>
        <w:rPr>
          <w:rFonts w:ascii="Verdana" w:hAnsi="Verdana" w:cs="Arial"/>
          <w:sz w:val="22"/>
          <w:szCs w:val="22"/>
        </w:rPr>
      </w:pPr>
      <w:r w:rsidRPr="0036110E">
        <w:rPr>
          <w:rFonts w:ascii="Verdana" w:hAnsi="Verdana" w:cs="Arial"/>
          <w:sz w:val="22"/>
          <w:szCs w:val="22"/>
        </w:rPr>
        <w:t>Mel Harris f</w:t>
      </w:r>
      <w:r w:rsidR="00440967" w:rsidRPr="0036110E">
        <w:rPr>
          <w:rFonts w:ascii="Verdana" w:hAnsi="Verdana" w:cs="Arial"/>
          <w:sz w:val="22"/>
          <w:szCs w:val="22"/>
        </w:rPr>
        <w:t>r</w:t>
      </w:r>
      <w:r w:rsidRPr="0036110E">
        <w:rPr>
          <w:rFonts w:ascii="Verdana" w:hAnsi="Verdana" w:cs="Arial"/>
          <w:sz w:val="22"/>
          <w:szCs w:val="22"/>
        </w:rPr>
        <w:t>o</w:t>
      </w:r>
      <w:r w:rsidR="006408D3">
        <w:rPr>
          <w:rFonts w:ascii="Verdana" w:hAnsi="Verdana" w:cs="Arial"/>
          <w:sz w:val="22"/>
          <w:szCs w:val="22"/>
        </w:rPr>
        <w:t>m Wychavon District Council</w:t>
      </w:r>
    </w:p>
    <w:p w14:paraId="1FA26D26" w14:textId="2F333563" w:rsidR="00A227B6" w:rsidRPr="0036110E" w:rsidRDefault="00BC3F71" w:rsidP="0036110E">
      <w:pPr>
        <w:numPr>
          <w:ilvl w:val="0"/>
          <w:numId w:val="3"/>
        </w:numPr>
        <w:tabs>
          <w:tab w:val="clear" w:pos="360"/>
        </w:tabs>
        <w:ind w:left="0" w:firstLine="0"/>
        <w:rPr>
          <w:rFonts w:ascii="Verdana" w:hAnsi="Verdana" w:cs="Arial"/>
          <w:sz w:val="22"/>
          <w:szCs w:val="22"/>
        </w:rPr>
      </w:pPr>
      <w:r>
        <w:rPr>
          <w:rFonts w:ascii="Verdana" w:hAnsi="Verdana" w:cs="Arial"/>
          <w:sz w:val="22"/>
          <w:szCs w:val="22"/>
        </w:rPr>
        <w:lastRenderedPageBreak/>
        <w:t xml:space="preserve">Lisa Perks </w:t>
      </w:r>
      <w:r w:rsidR="00A50D01" w:rsidRPr="0036110E">
        <w:rPr>
          <w:rFonts w:ascii="Verdana" w:hAnsi="Verdana" w:cs="Arial"/>
          <w:sz w:val="22"/>
          <w:szCs w:val="22"/>
        </w:rPr>
        <w:t>from Malvern Hills District Council</w:t>
      </w:r>
    </w:p>
    <w:p w14:paraId="354209E5" w14:textId="77777777" w:rsidR="0040033A" w:rsidRPr="0036110E" w:rsidRDefault="0040033A" w:rsidP="0036110E">
      <w:pPr>
        <w:ind w:hanging="851"/>
        <w:jc w:val="both"/>
        <w:rPr>
          <w:rFonts w:ascii="Verdana" w:hAnsi="Verdana" w:cs="Arial"/>
          <w:sz w:val="22"/>
          <w:szCs w:val="22"/>
        </w:rPr>
      </w:pPr>
    </w:p>
    <w:p w14:paraId="41826DC8" w14:textId="77777777" w:rsidR="00913621" w:rsidRPr="0036110E" w:rsidRDefault="00A50D01" w:rsidP="0036110E">
      <w:pPr>
        <w:jc w:val="both"/>
        <w:rPr>
          <w:rFonts w:ascii="Verdana" w:hAnsi="Verdana" w:cs="Arial"/>
          <w:sz w:val="22"/>
          <w:szCs w:val="22"/>
        </w:rPr>
      </w:pPr>
      <w:r w:rsidRPr="0036110E">
        <w:rPr>
          <w:rFonts w:ascii="Verdana" w:hAnsi="Verdana" w:cs="Arial"/>
          <w:sz w:val="22"/>
          <w:szCs w:val="22"/>
        </w:rPr>
        <w:t xml:space="preserve">The Panel wishes to acknowledge its gratitude to these officers who have provided advice and guidance in a professional and dedicated manner.  </w:t>
      </w:r>
    </w:p>
    <w:p w14:paraId="43BA7875" w14:textId="77777777" w:rsidR="00913621" w:rsidRPr="0036110E" w:rsidRDefault="00913621" w:rsidP="0036110E">
      <w:pPr>
        <w:jc w:val="both"/>
        <w:rPr>
          <w:rFonts w:ascii="Verdana" w:hAnsi="Verdana" w:cs="Arial"/>
          <w:sz w:val="22"/>
          <w:szCs w:val="22"/>
        </w:rPr>
      </w:pPr>
    </w:p>
    <w:p w14:paraId="63AC026F" w14:textId="77777777" w:rsidR="003539E3" w:rsidRPr="0036110E" w:rsidRDefault="00ED59B9" w:rsidP="0036110E">
      <w:pPr>
        <w:jc w:val="both"/>
        <w:rPr>
          <w:rFonts w:ascii="Verdana" w:hAnsi="Verdana" w:cs="Arial"/>
          <w:b/>
          <w:bCs/>
          <w:sz w:val="22"/>
          <w:szCs w:val="22"/>
        </w:rPr>
      </w:pPr>
      <w:r w:rsidRPr="00E0776E">
        <w:rPr>
          <w:rFonts w:ascii="Verdana" w:hAnsi="Verdana" w:cs="Arial"/>
          <w:b/>
          <w:szCs w:val="22"/>
        </w:rPr>
        <w:t>Reuben Bergman</w:t>
      </w:r>
      <w:r w:rsidDel="00ED59B9">
        <w:rPr>
          <w:rFonts w:ascii="Verdana" w:hAnsi="Verdana" w:cs="Arial"/>
          <w:b/>
          <w:bCs/>
          <w:sz w:val="22"/>
          <w:szCs w:val="22"/>
        </w:rPr>
        <w:t xml:space="preserve"> </w:t>
      </w:r>
      <w:r w:rsidR="002A7E88" w:rsidRPr="0036110E">
        <w:rPr>
          <w:rFonts w:ascii="Verdana" w:hAnsi="Verdana" w:cs="Arial"/>
          <w:b/>
          <w:bCs/>
          <w:sz w:val="22"/>
          <w:szCs w:val="22"/>
        </w:rPr>
        <w:t xml:space="preserve">, </w:t>
      </w:r>
      <w:r w:rsidR="000024B0" w:rsidRPr="0036110E">
        <w:rPr>
          <w:rFonts w:ascii="Verdana" w:hAnsi="Verdana" w:cs="Arial"/>
          <w:b/>
          <w:bCs/>
          <w:sz w:val="22"/>
          <w:szCs w:val="22"/>
        </w:rPr>
        <w:t>Chair of Independent Remuneration Panel</w:t>
      </w:r>
    </w:p>
    <w:p w14:paraId="58E645AC" w14:textId="77777777" w:rsidR="00340DA8" w:rsidRDefault="00340DA8" w:rsidP="00340DA8">
      <w:pPr>
        <w:rPr>
          <w:rFonts w:ascii="Verdana" w:hAnsi="Verdana" w:cs="Arial"/>
          <w:b/>
          <w:bCs/>
          <w:sz w:val="22"/>
          <w:szCs w:val="22"/>
        </w:rPr>
      </w:pPr>
    </w:p>
    <w:p w14:paraId="150BC02A" w14:textId="77777777" w:rsidR="00C54F6C" w:rsidRDefault="00C54F6C" w:rsidP="00340DA8">
      <w:pPr>
        <w:rPr>
          <w:rFonts w:ascii="Verdana" w:hAnsi="Verdana" w:cs="Arial"/>
          <w:b/>
          <w:bCs/>
          <w:sz w:val="22"/>
          <w:szCs w:val="22"/>
        </w:rPr>
      </w:pPr>
    </w:p>
    <w:p w14:paraId="7ED7B537" w14:textId="77777777" w:rsidR="00C54F6C" w:rsidRDefault="00C54F6C" w:rsidP="00340DA8">
      <w:pPr>
        <w:rPr>
          <w:rFonts w:ascii="Verdana" w:hAnsi="Verdana" w:cs="Arial"/>
          <w:b/>
          <w:bCs/>
          <w:sz w:val="22"/>
          <w:szCs w:val="22"/>
        </w:rPr>
      </w:pPr>
    </w:p>
    <w:p w14:paraId="344FF465" w14:textId="77777777" w:rsidR="00C54F6C" w:rsidRDefault="00C54F6C" w:rsidP="00340DA8">
      <w:pPr>
        <w:rPr>
          <w:rFonts w:ascii="Verdana" w:hAnsi="Verdana" w:cs="Arial"/>
          <w:b/>
          <w:bCs/>
          <w:sz w:val="22"/>
          <w:szCs w:val="22"/>
        </w:rPr>
      </w:pPr>
    </w:p>
    <w:p w14:paraId="7A5F9271" w14:textId="77777777" w:rsidR="00C54F6C" w:rsidRDefault="00C54F6C" w:rsidP="00340DA8">
      <w:pPr>
        <w:rPr>
          <w:rFonts w:ascii="Verdana" w:hAnsi="Verdana" w:cs="Arial"/>
          <w:b/>
          <w:bCs/>
          <w:sz w:val="22"/>
          <w:szCs w:val="22"/>
        </w:rPr>
      </w:pPr>
    </w:p>
    <w:p w14:paraId="3F81EB64" w14:textId="77777777" w:rsidR="00C54F6C" w:rsidRDefault="00C54F6C" w:rsidP="00340DA8">
      <w:pPr>
        <w:rPr>
          <w:rFonts w:ascii="Verdana" w:hAnsi="Verdana" w:cs="Arial"/>
          <w:b/>
          <w:bCs/>
          <w:sz w:val="22"/>
          <w:szCs w:val="22"/>
        </w:rPr>
      </w:pPr>
    </w:p>
    <w:p w14:paraId="76303C5B" w14:textId="77777777" w:rsidR="00C54F6C" w:rsidRDefault="00C54F6C" w:rsidP="00340DA8">
      <w:pPr>
        <w:rPr>
          <w:rFonts w:ascii="Verdana" w:hAnsi="Verdana" w:cs="Arial"/>
          <w:b/>
          <w:bCs/>
          <w:sz w:val="22"/>
          <w:szCs w:val="22"/>
        </w:rPr>
      </w:pPr>
    </w:p>
    <w:p w14:paraId="338877E1" w14:textId="77777777" w:rsidR="00C54F6C" w:rsidRDefault="00C54F6C" w:rsidP="00340DA8">
      <w:pPr>
        <w:rPr>
          <w:rFonts w:ascii="Verdana" w:hAnsi="Verdana" w:cs="Arial"/>
          <w:b/>
          <w:bCs/>
          <w:sz w:val="22"/>
          <w:szCs w:val="22"/>
        </w:rPr>
      </w:pPr>
    </w:p>
    <w:p w14:paraId="156BC04B" w14:textId="77777777" w:rsidR="00C54F6C" w:rsidRDefault="00C54F6C" w:rsidP="00340DA8">
      <w:pPr>
        <w:rPr>
          <w:rFonts w:ascii="Verdana" w:hAnsi="Verdana" w:cs="Arial"/>
          <w:b/>
          <w:bCs/>
          <w:sz w:val="22"/>
          <w:szCs w:val="22"/>
        </w:rPr>
      </w:pPr>
    </w:p>
    <w:p w14:paraId="05C07816" w14:textId="77777777" w:rsidR="00C54F6C" w:rsidRDefault="00C54F6C" w:rsidP="00340DA8">
      <w:pPr>
        <w:rPr>
          <w:rFonts w:ascii="Verdana" w:hAnsi="Verdana" w:cs="Arial"/>
          <w:b/>
          <w:bCs/>
          <w:sz w:val="22"/>
          <w:szCs w:val="22"/>
        </w:rPr>
      </w:pPr>
    </w:p>
    <w:p w14:paraId="43CB8975" w14:textId="77777777" w:rsidR="00C54F6C" w:rsidRDefault="00C54F6C" w:rsidP="00340DA8">
      <w:pPr>
        <w:rPr>
          <w:rFonts w:ascii="Verdana" w:hAnsi="Verdana" w:cs="Arial"/>
          <w:b/>
          <w:bCs/>
          <w:sz w:val="22"/>
          <w:szCs w:val="22"/>
        </w:rPr>
      </w:pPr>
    </w:p>
    <w:p w14:paraId="72652072" w14:textId="77777777" w:rsidR="00C54F6C" w:rsidRDefault="00C54F6C" w:rsidP="00340DA8">
      <w:pPr>
        <w:rPr>
          <w:rFonts w:ascii="Verdana" w:hAnsi="Verdana" w:cs="Arial"/>
          <w:b/>
          <w:bCs/>
          <w:sz w:val="22"/>
          <w:szCs w:val="22"/>
        </w:rPr>
      </w:pPr>
    </w:p>
    <w:p w14:paraId="2C9AB88A" w14:textId="77777777" w:rsidR="00C54F6C" w:rsidRDefault="00C54F6C" w:rsidP="00340DA8">
      <w:pPr>
        <w:rPr>
          <w:rFonts w:ascii="Verdana" w:hAnsi="Verdana" w:cs="Arial"/>
          <w:b/>
          <w:bCs/>
          <w:sz w:val="22"/>
          <w:szCs w:val="22"/>
        </w:rPr>
      </w:pPr>
    </w:p>
    <w:p w14:paraId="46A65B2D" w14:textId="77777777" w:rsidR="00C54F6C" w:rsidRDefault="00C54F6C" w:rsidP="00340DA8">
      <w:pPr>
        <w:rPr>
          <w:rFonts w:ascii="Verdana" w:hAnsi="Verdana" w:cs="Arial"/>
          <w:b/>
          <w:bCs/>
          <w:sz w:val="22"/>
          <w:szCs w:val="22"/>
        </w:rPr>
      </w:pPr>
    </w:p>
    <w:p w14:paraId="7704AD67" w14:textId="77777777" w:rsidR="00C54F6C" w:rsidRDefault="00C54F6C" w:rsidP="00340DA8">
      <w:pPr>
        <w:rPr>
          <w:rFonts w:ascii="Verdana" w:hAnsi="Verdana" w:cs="Arial"/>
          <w:b/>
          <w:bCs/>
          <w:sz w:val="22"/>
          <w:szCs w:val="22"/>
        </w:rPr>
      </w:pPr>
    </w:p>
    <w:p w14:paraId="097D4361" w14:textId="77777777" w:rsidR="00C54F6C" w:rsidRDefault="00C54F6C" w:rsidP="00340DA8">
      <w:pPr>
        <w:rPr>
          <w:rFonts w:ascii="Verdana" w:hAnsi="Verdana" w:cs="Arial"/>
          <w:b/>
          <w:bCs/>
          <w:sz w:val="22"/>
          <w:szCs w:val="22"/>
        </w:rPr>
      </w:pPr>
    </w:p>
    <w:p w14:paraId="258E9690" w14:textId="77777777" w:rsidR="00C54F6C" w:rsidRDefault="00C54F6C" w:rsidP="00340DA8">
      <w:pPr>
        <w:rPr>
          <w:rFonts w:ascii="Verdana" w:hAnsi="Verdana" w:cs="Arial"/>
          <w:b/>
          <w:bCs/>
          <w:sz w:val="22"/>
          <w:szCs w:val="22"/>
        </w:rPr>
      </w:pPr>
    </w:p>
    <w:p w14:paraId="6A32E03C" w14:textId="77777777" w:rsidR="00C54F6C" w:rsidRDefault="00C54F6C" w:rsidP="00340DA8">
      <w:pPr>
        <w:rPr>
          <w:rFonts w:ascii="Verdana" w:hAnsi="Verdana" w:cs="Arial"/>
          <w:b/>
          <w:bCs/>
          <w:sz w:val="22"/>
          <w:szCs w:val="22"/>
        </w:rPr>
      </w:pPr>
    </w:p>
    <w:p w14:paraId="3CD15A67" w14:textId="77777777" w:rsidR="00C54F6C" w:rsidRDefault="00C54F6C" w:rsidP="00340DA8">
      <w:pPr>
        <w:rPr>
          <w:rFonts w:ascii="Verdana" w:hAnsi="Verdana" w:cs="Arial"/>
          <w:b/>
          <w:bCs/>
          <w:sz w:val="22"/>
          <w:szCs w:val="22"/>
        </w:rPr>
      </w:pPr>
    </w:p>
    <w:p w14:paraId="4685FDE1" w14:textId="77777777" w:rsidR="00C54F6C" w:rsidRDefault="00C54F6C" w:rsidP="00340DA8">
      <w:pPr>
        <w:rPr>
          <w:rFonts w:ascii="Verdana" w:hAnsi="Verdana" w:cs="Arial"/>
          <w:b/>
          <w:bCs/>
          <w:sz w:val="22"/>
          <w:szCs w:val="22"/>
        </w:rPr>
      </w:pPr>
    </w:p>
    <w:p w14:paraId="1D698020" w14:textId="77777777" w:rsidR="00C54F6C" w:rsidRDefault="00C54F6C" w:rsidP="00340DA8">
      <w:pPr>
        <w:rPr>
          <w:rFonts w:ascii="Verdana" w:hAnsi="Verdana" w:cs="Arial"/>
          <w:b/>
          <w:bCs/>
          <w:sz w:val="22"/>
          <w:szCs w:val="22"/>
        </w:rPr>
      </w:pPr>
    </w:p>
    <w:p w14:paraId="736507DD" w14:textId="77777777" w:rsidR="00C54F6C" w:rsidRDefault="00C54F6C" w:rsidP="00340DA8">
      <w:pPr>
        <w:rPr>
          <w:rFonts w:ascii="Verdana" w:hAnsi="Verdana" w:cs="Arial"/>
          <w:b/>
          <w:bCs/>
          <w:sz w:val="22"/>
          <w:szCs w:val="22"/>
        </w:rPr>
      </w:pPr>
    </w:p>
    <w:p w14:paraId="05EBAAFD" w14:textId="77777777" w:rsidR="00C54F6C" w:rsidRDefault="00C54F6C" w:rsidP="00340DA8">
      <w:pPr>
        <w:rPr>
          <w:rFonts w:ascii="Verdana" w:hAnsi="Verdana" w:cs="Arial"/>
          <w:b/>
          <w:bCs/>
          <w:sz w:val="22"/>
          <w:szCs w:val="22"/>
        </w:rPr>
      </w:pPr>
    </w:p>
    <w:p w14:paraId="3D0B6F92" w14:textId="77777777" w:rsidR="00C54F6C" w:rsidRDefault="00C54F6C" w:rsidP="00340DA8">
      <w:pPr>
        <w:rPr>
          <w:rFonts w:ascii="Verdana" w:hAnsi="Verdana" w:cs="Arial"/>
          <w:b/>
          <w:bCs/>
          <w:sz w:val="22"/>
          <w:szCs w:val="22"/>
        </w:rPr>
      </w:pPr>
    </w:p>
    <w:p w14:paraId="7AC40EB3" w14:textId="77777777" w:rsidR="00C54F6C" w:rsidRDefault="00C54F6C" w:rsidP="00340DA8">
      <w:pPr>
        <w:rPr>
          <w:rFonts w:ascii="Verdana" w:hAnsi="Verdana" w:cs="Arial"/>
          <w:b/>
          <w:bCs/>
          <w:sz w:val="22"/>
          <w:szCs w:val="22"/>
        </w:rPr>
      </w:pPr>
    </w:p>
    <w:p w14:paraId="4E74E0FD" w14:textId="77777777" w:rsidR="00C54F6C" w:rsidRDefault="00C54F6C" w:rsidP="00340DA8">
      <w:pPr>
        <w:rPr>
          <w:rFonts w:ascii="Verdana" w:hAnsi="Verdana" w:cs="Arial"/>
          <w:b/>
          <w:bCs/>
          <w:sz w:val="22"/>
          <w:szCs w:val="22"/>
        </w:rPr>
      </w:pPr>
    </w:p>
    <w:p w14:paraId="74E81C67" w14:textId="77777777" w:rsidR="00C54F6C" w:rsidRDefault="00C54F6C" w:rsidP="00340DA8">
      <w:pPr>
        <w:rPr>
          <w:rFonts w:ascii="Verdana" w:hAnsi="Verdana" w:cs="Arial"/>
          <w:b/>
          <w:bCs/>
          <w:sz w:val="22"/>
          <w:szCs w:val="22"/>
        </w:rPr>
      </w:pPr>
    </w:p>
    <w:p w14:paraId="07969B19" w14:textId="77777777" w:rsidR="00C54F6C" w:rsidRDefault="00C54F6C" w:rsidP="00340DA8">
      <w:pPr>
        <w:rPr>
          <w:rFonts w:ascii="Verdana" w:hAnsi="Verdana" w:cs="Arial"/>
          <w:b/>
          <w:bCs/>
          <w:sz w:val="22"/>
          <w:szCs w:val="22"/>
        </w:rPr>
      </w:pPr>
    </w:p>
    <w:p w14:paraId="37C8D557" w14:textId="77777777" w:rsidR="00C54F6C" w:rsidRDefault="00C54F6C" w:rsidP="00340DA8">
      <w:pPr>
        <w:rPr>
          <w:rFonts w:ascii="Verdana" w:hAnsi="Verdana" w:cs="Arial"/>
          <w:b/>
          <w:bCs/>
          <w:sz w:val="22"/>
          <w:szCs w:val="22"/>
        </w:rPr>
      </w:pPr>
    </w:p>
    <w:p w14:paraId="2EAD3A7B" w14:textId="77777777" w:rsidR="00C54F6C" w:rsidRDefault="00C54F6C" w:rsidP="00340DA8">
      <w:pPr>
        <w:rPr>
          <w:rFonts w:ascii="Verdana" w:hAnsi="Verdana" w:cs="Arial"/>
          <w:b/>
          <w:bCs/>
          <w:sz w:val="22"/>
          <w:szCs w:val="22"/>
        </w:rPr>
      </w:pPr>
    </w:p>
    <w:p w14:paraId="46A94C49" w14:textId="77777777" w:rsidR="00C54F6C" w:rsidRDefault="00C54F6C" w:rsidP="00340DA8">
      <w:pPr>
        <w:rPr>
          <w:rFonts w:ascii="Verdana" w:hAnsi="Verdana" w:cs="Arial"/>
          <w:b/>
          <w:bCs/>
          <w:sz w:val="22"/>
          <w:szCs w:val="22"/>
        </w:rPr>
      </w:pPr>
    </w:p>
    <w:p w14:paraId="67E070EC" w14:textId="77777777" w:rsidR="00C54F6C" w:rsidRDefault="00C54F6C" w:rsidP="00340DA8">
      <w:pPr>
        <w:rPr>
          <w:rFonts w:ascii="Verdana" w:hAnsi="Verdana" w:cs="Arial"/>
          <w:b/>
          <w:bCs/>
          <w:sz w:val="22"/>
          <w:szCs w:val="22"/>
        </w:rPr>
      </w:pPr>
    </w:p>
    <w:p w14:paraId="2858F6DC" w14:textId="2D651201" w:rsidR="00C54F6C" w:rsidRDefault="00C54F6C" w:rsidP="00340DA8">
      <w:pPr>
        <w:rPr>
          <w:rFonts w:ascii="Verdana" w:hAnsi="Verdana" w:cs="Arial"/>
          <w:b/>
          <w:bCs/>
          <w:sz w:val="22"/>
          <w:szCs w:val="22"/>
        </w:rPr>
      </w:pPr>
    </w:p>
    <w:p w14:paraId="19707F6A" w14:textId="0BD4D130" w:rsidR="00BC5310" w:rsidRDefault="00BC5310" w:rsidP="00340DA8">
      <w:pPr>
        <w:rPr>
          <w:rFonts w:ascii="Verdana" w:hAnsi="Verdana" w:cs="Arial"/>
          <w:b/>
          <w:bCs/>
          <w:sz w:val="22"/>
          <w:szCs w:val="22"/>
        </w:rPr>
      </w:pPr>
    </w:p>
    <w:p w14:paraId="7E69E371" w14:textId="3F47716B" w:rsidR="00BC5310" w:rsidRDefault="00BC5310" w:rsidP="00340DA8">
      <w:pPr>
        <w:rPr>
          <w:rFonts w:ascii="Verdana" w:hAnsi="Verdana" w:cs="Arial"/>
          <w:b/>
          <w:bCs/>
          <w:sz w:val="22"/>
          <w:szCs w:val="22"/>
        </w:rPr>
      </w:pPr>
    </w:p>
    <w:p w14:paraId="32D6EA04" w14:textId="79DC749D" w:rsidR="00BC5310" w:rsidRDefault="00BC5310" w:rsidP="00340DA8">
      <w:pPr>
        <w:rPr>
          <w:rFonts w:ascii="Verdana" w:hAnsi="Verdana" w:cs="Arial"/>
          <w:b/>
          <w:bCs/>
          <w:sz w:val="22"/>
          <w:szCs w:val="22"/>
        </w:rPr>
      </w:pPr>
    </w:p>
    <w:p w14:paraId="1972B116" w14:textId="357071B0" w:rsidR="00BC5310" w:rsidRDefault="00BC5310" w:rsidP="00340DA8">
      <w:pPr>
        <w:rPr>
          <w:rFonts w:ascii="Verdana" w:hAnsi="Verdana" w:cs="Arial"/>
          <w:b/>
          <w:bCs/>
          <w:sz w:val="22"/>
          <w:szCs w:val="22"/>
        </w:rPr>
      </w:pPr>
    </w:p>
    <w:p w14:paraId="35C62FB1" w14:textId="0F205DCA" w:rsidR="006C6FA7" w:rsidRDefault="006C6FA7" w:rsidP="00340DA8">
      <w:pPr>
        <w:rPr>
          <w:rFonts w:ascii="Verdana" w:hAnsi="Verdana" w:cs="Arial"/>
          <w:b/>
          <w:bCs/>
          <w:sz w:val="22"/>
          <w:szCs w:val="22"/>
        </w:rPr>
      </w:pPr>
    </w:p>
    <w:p w14:paraId="67BAC29B" w14:textId="48FDC3F7" w:rsidR="006C6FA7" w:rsidRDefault="006C6FA7" w:rsidP="00340DA8">
      <w:pPr>
        <w:rPr>
          <w:rFonts w:ascii="Verdana" w:hAnsi="Verdana" w:cs="Arial"/>
          <w:b/>
          <w:bCs/>
          <w:sz w:val="22"/>
          <w:szCs w:val="22"/>
        </w:rPr>
      </w:pPr>
    </w:p>
    <w:p w14:paraId="4A53C62D" w14:textId="77777777" w:rsidR="00034975" w:rsidRDefault="00034975" w:rsidP="00340DA8">
      <w:pPr>
        <w:rPr>
          <w:rFonts w:ascii="Verdana" w:hAnsi="Verdana" w:cs="Arial"/>
          <w:b/>
          <w:bCs/>
          <w:sz w:val="22"/>
          <w:szCs w:val="22"/>
        </w:rPr>
      </w:pPr>
    </w:p>
    <w:p w14:paraId="667A5183" w14:textId="7D9606EC" w:rsidR="006C6FA7" w:rsidRDefault="006C6FA7" w:rsidP="00340DA8">
      <w:pPr>
        <w:rPr>
          <w:rFonts w:ascii="Verdana" w:hAnsi="Verdana" w:cs="Arial"/>
          <w:b/>
          <w:bCs/>
          <w:sz w:val="22"/>
          <w:szCs w:val="22"/>
        </w:rPr>
      </w:pPr>
    </w:p>
    <w:p w14:paraId="7F9497FF" w14:textId="77777777" w:rsidR="006C6FA7" w:rsidRDefault="006C6FA7" w:rsidP="00340DA8">
      <w:pPr>
        <w:rPr>
          <w:rFonts w:ascii="Verdana" w:hAnsi="Verdana" w:cs="Arial"/>
          <w:b/>
          <w:bCs/>
          <w:sz w:val="22"/>
          <w:szCs w:val="22"/>
        </w:rPr>
      </w:pPr>
    </w:p>
    <w:p w14:paraId="06432C1D" w14:textId="5A00157F" w:rsidR="00BC5310" w:rsidRDefault="00BC5310" w:rsidP="00340DA8">
      <w:pPr>
        <w:rPr>
          <w:rFonts w:ascii="Verdana" w:hAnsi="Verdana" w:cs="Arial"/>
          <w:b/>
          <w:bCs/>
          <w:sz w:val="22"/>
          <w:szCs w:val="22"/>
        </w:rPr>
      </w:pPr>
    </w:p>
    <w:p w14:paraId="5045957B" w14:textId="77777777" w:rsidR="00BC5310" w:rsidRDefault="00BC5310" w:rsidP="00340DA8">
      <w:pPr>
        <w:rPr>
          <w:rFonts w:ascii="Verdana" w:hAnsi="Verdana" w:cs="Arial"/>
          <w:b/>
          <w:bCs/>
          <w:sz w:val="22"/>
          <w:szCs w:val="22"/>
        </w:rPr>
      </w:pPr>
    </w:p>
    <w:p w14:paraId="780329B0" w14:textId="77777777" w:rsidR="00C54F6C" w:rsidRDefault="00C54F6C" w:rsidP="00340DA8">
      <w:pPr>
        <w:rPr>
          <w:rFonts w:ascii="Verdana" w:hAnsi="Verdana" w:cs="Arial"/>
          <w:b/>
          <w:bCs/>
          <w:sz w:val="22"/>
          <w:szCs w:val="22"/>
        </w:rPr>
      </w:pPr>
    </w:p>
    <w:p w14:paraId="2C6347FD" w14:textId="77777777" w:rsidR="00340DA8" w:rsidRDefault="00340DA8" w:rsidP="00340DA8">
      <w:pPr>
        <w:rPr>
          <w:rFonts w:ascii="Verdana" w:hAnsi="Verdana" w:cs="Arial"/>
          <w:b/>
          <w:bCs/>
          <w:sz w:val="22"/>
          <w:szCs w:val="22"/>
        </w:rPr>
      </w:pPr>
    </w:p>
    <w:p w14:paraId="77CD82E8" w14:textId="77777777" w:rsidR="00340DA8" w:rsidRDefault="00340DA8" w:rsidP="0007325E">
      <w:pPr>
        <w:jc w:val="right"/>
        <w:rPr>
          <w:rFonts w:ascii="Verdana" w:hAnsi="Verdana" w:cs="Arial"/>
          <w:b/>
          <w:bCs/>
          <w:sz w:val="22"/>
          <w:szCs w:val="22"/>
        </w:rPr>
      </w:pPr>
      <w:r>
        <w:rPr>
          <w:rFonts w:ascii="Verdana" w:hAnsi="Verdana" w:cs="Arial"/>
          <w:b/>
          <w:bCs/>
          <w:sz w:val="22"/>
          <w:szCs w:val="22"/>
        </w:rPr>
        <w:lastRenderedPageBreak/>
        <w:t>Appendix 1</w:t>
      </w:r>
    </w:p>
    <w:p w14:paraId="222401DC" w14:textId="77777777" w:rsidR="00340DA8" w:rsidRDefault="00340DA8" w:rsidP="0007325E">
      <w:pPr>
        <w:jc w:val="right"/>
        <w:rPr>
          <w:rFonts w:ascii="Verdana" w:hAnsi="Verdana" w:cs="Arial"/>
          <w:b/>
          <w:bCs/>
          <w:sz w:val="22"/>
          <w:szCs w:val="22"/>
        </w:rPr>
      </w:pPr>
    </w:p>
    <w:p w14:paraId="5A6806E6" w14:textId="77777777" w:rsidR="00340DA8" w:rsidRDefault="00340DA8" w:rsidP="00340DA8">
      <w:pPr>
        <w:jc w:val="center"/>
        <w:rPr>
          <w:rFonts w:ascii="Verdana" w:hAnsi="Verdana" w:cs="Arial"/>
          <w:b/>
          <w:bCs/>
          <w:sz w:val="22"/>
          <w:szCs w:val="22"/>
        </w:rPr>
      </w:pPr>
      <w:r>
        <w:rPr>
          <w:rFonts w:ascii="Verdana" w:hAnsi="Verdana" w:cs="Arial"/>
          <w:b/>
          <w:bCs/>
          <w:sz w:val="22"/>
          <w:szCs w:val="22"/>
        </w:rPr>
        <w:t>Independent Remuneration Panel for District Councils in Worcestershire</w:t>
      </w:r>
    </w:p>
    <w:p w14:paraId="63DD8550" w14:textId="77777777" w:rsidR="00340DA8" w:rsidRDefault="00340DA8" w:rsidP="00340DA8">
      <w:pPr>
        <w:jc w:val="center"/>
        <w:rPr>
          <w:rFonts w:ascii="Verdana" w:hAnsi="Verdana" w:cs="Arial"/>
          <w:b/>
          <w:bCs/>
          <w:sz w:val="22"/>
          <w:szCs w:val="22"/>
        </w:rPr>
      </w:pPr>
      <w:r>
        <w:rPr>
          <w:rFonts w:ascii="Verdana" w:hAnsi="Verdana" w:cs="Arial"/>
          <w:b/>
          <w:bCs/>
          <w:sz w:val="22"/>
          <w:szCs w:val="22"/>
        </w:rPr>
        <w:t>Recommendations for 2021/22</w:t>
      </w:r>
    </w:p>
    <w:p w14:paraId="44502D26" w14:textId="77777777" w:rsidR="00340DA8" w:rsidRDefault="00340DA8" w:rsidP="00340DA8">
      <w:pPr>
        <w:jc w:val="center"/>
        <w:rPr>
          <w:rFonts w:ascii="Verdana" w:hAnsi="Verdana" w:cs="Arial"/>
          <w:b/>
          <w:bCs/>
          <w:sz w:val="22"/>
          <w:szCs w:val="22"/>
        </w:rPr>
      </w:pPr>
    </w:p>
    <w:p w14:paraId="52E0D189" w14:textId="7E07F4C5" w:rsidR="00340DA8" w:rsidRPr="00152C98" w:rsidRDefault="00152C98" w:rsidP="00340DA8">
      <w:pPr>
        <w:jc w:val="center"/>
        <w:rPr>
          <w:rFonts w:ascii="Verdana" w:hAnsi="Verdana" w:cs="Arial"/>
          <w:b/>
          <w:bCs/>
          <w:sz w:val="22"/>
          <w:szCs w:val="22"/>
        </w:rPr>
      </w:pPr>
      <w:r>
        <w:rPr>
          <w:rFonts w:ascii="Verdana" w:hAnsi="Verdana" w:cs="Arial"/>
          <w:b/>
          <w:bCs/>
          <w:sz w:val="22"/>
          <w:szCs w:val="22"/>
        </w:rPr>
        <w:t>Malvern Hills District</w:t>
      </w:r>
      <w:r w:rsidR="00340DA8" w:rsidRPr="00152C98">
        <w:rPr>
          <w:rFonts w:ascii="Verdana" w:hAnsi="Verdana" w:cs="Arial"/>
          <w:b/>
          <w:bCs/>
          <w:sz w:val="22"/>
          <w:szCs w:val="22"/>
        </w:rPr>
        <w:t xml:space="preserve"> Council</w:t>
      </w:r>
    </w:p>
    <w:p w14:paraId="15D36098" w14:textId="77777777" w:rsidR="00340DA8" w:rsidRDefault="00340DA8" w:rsidP="0007325E">
      <w:pPr>
        <w:jc w:val="right"/>
        <w:rPr>
          <w:rFonts w:ascii="Verdana" w:hAnsi="Verdana" w:cs="Arial"/>
          <w:b/>
          <w:bCs/>
          <w:sz w:val="22"/>
          <w:szCs w:val="22"/>
        </w:rPr>
      </w:pPr>
    </w:p>
    <w:tbl>
      <w:tblPr>
        <w:tblStyle w:val="TableGrid"/>
        <w:tblW w:w="10461" w:type="dxa"/>
        <w:tblInd w:w="-147" w:type="dxa"/>
        <w:tblLayout w:type="fixed"/>
        <w:tblLook w:val="04A0" w:firstRow="1" w:lastRow="0" w:firstColumn="1" w:lastColumn="0" w:noHBand="0" w:noVBand="1"/>
      </w:tblPr>
      <w:tblGrid>
        <w:gridCol w:w="1702"/>
        <w:gridCol w:w="1247"/>
        <w:gridCol w:w="1275"/>
        <w:gridCol w:w="1418"/>
        <w:gridCol w:w="1276"/>
        <w:gridCol w:w="1842"/>
        <w:gridCol w:w="1701"/>
      </w:tblGrid>
      <w:tr w:rsidR="006425FD" w14:paraId="15603E28" w14:textId="77777777" w:rsidTr="00E32B77">
        <w:tc>
          <w:tcPr>
            <w:tcW w:w="1702" w:type="dxa"/>
          </w:tcPr>
          <w:p w14:paraId="692D694E" w14:textId="77777777" w:rsidR="006425FD" w:rsidRPr="00340DA8" w:rsidRDefault="006425FD" w:rsidP="006425FD">
            <w:pPr>
              <w:rPr>
                <w:rFonts w:ascii="Verdana" w:hAnsi="Verdana"/>
                <w:b/>
                <w:bCs/>
                <w:sz w:val="18"/>
                <w:szCs w:val="18"/>
              </w:rPr>
            </w:pPr>
            <w:bookmarkStart w:id="3" w:name="_Hlk58408297"/>
            <w:r w:rsidRPr="00340DA8">
              <w:rPr>
                <w:rFonts w:ascii="Verdana" w:hAnsi="Verdana"/>
                <w:b/>
                <w:bCs/>
                <w:sz w:val="18"/>
                <w:szCs w:val="18"/>
              </w:rPr>
              <w:t>Role</w:t>
            </w:r>
          </w:p>
        </w:tc>
        <w:tc>
          <w:tcPr>
            <w:tcW w:w="1247" w:type="dxa"/>
          </w:tcPr>
          <w:p w14:paraId="1630967C" w14:textId="5CE3C25F" w:rsidR="006425FD" w:rsidRDefault="006425FD" w:rsidP="006425FD">
            <w:pPr>
              <w:jc w:val="center"/>
              <w:rPr>
                <w:rFonts w:ascii="Verdana" w:hAnsi="Verdana"/>
                <w:b/>
                <w:bCs/>
                <w:sz w:val="18"/>
                <w:szCs w:val="18"/>
              </w:rPr>
            </w:pPr>
            <w:r w:rsidRPr="00340DA8">
              <w:rPr>
                <w:rFonts w:ascii="Verdana" w:hAnsi="Verdana"/>
                <w:b/>
                <w:bCs/>
                <w:sz w:val="18"/>
                <w:szCs w:val="18"/>
              </w:rPr>
              <w:t>Rec</w:t>
            </w:r>
            <w:r>
              <w:rPr>
                <w:rFonts w:ascii="Verdana" w:hAnsi="Verdana"/>
                <w:b/>
                <w:bCs/>
                <w:sz w:val="18"/>
                <w:szCs w:val="18"/>
              </w:rPr>
              <w:t>’d</w:t>
            </w:r>
            <w:r w:rsidRPr="00340DA8">
              <w:rPr>
                <w:rFonts w:ascii="Verdana" w:hAnsi="Verdana"/>
                <w:b/>
                <w:bCs/>
                <w:sz w:val="18"/>
                <w:szCs w:val="18"/>
              </w:rPr>
              <w:t xml:space="preserve"> Multiplier 2020/21</w:t>
            </w:r>
          </w:p>
          <w:p w14:paraId="0E2DB71F" w14:textId="40299471" w:rsidR="006425FD" w:rsidRPr="00340DA8" w:rsidRDefault="006425FD" w:rsidP="006425FD">
            <w:pPr>
              <w:jc w:val="center"/>
              <w:rPr>
                <w:rFonts w:ascii="Verdana" w:hAnsi="Verdana"/>
                <w:b/>
                <w:bCs/>
                <w:sz w:val="18"/>
                <w:szCs w:val="18"/>
              </w:rPr>
            </w:pPr>
            <w:r>
              <w:rPr>
                <w:rFonts w:ascii="Verdana" w:hAnsi="Verdana"/>
                <w:b/>
                <w:bCs/>
                <w:sz w:val="18"/>
                <w:szCs w:val="18"/>
              </w:rPr>
              <w:t>(IRP)</w:t>
            </w:r>
          </w:p>
        </w:tc>
        <w:tc>
          <w:tcPr>
            <w:tcW w:w="1275" w:type="dxa"/>
          </w:tcPr>
          <w:p w14:paraId="0AD6D551" w14:textId="28A83E1B" w:rsidR="006425FD" w:rsidRPr="00340DA8" w:rsidRDefault="006425FD" w:rsidP="006425FD">
            <w:pPr>
              <w:jc w:val="center"/>
              <w:rPr>
                <w:rFonts w:ascii="Verdana" w:hAnsi="Verdana"/>
                <w:b/>
                <w:bCs/>
                <w:sz w:val="18"/>
                <w:szCs w:val="18"/>
              </w:rPr>
            </w:pPr>
            <w:r w:rsidRPr="00340DA8">
              <w:rPr>
                <w:rFonts w:ascii="Verdana" w:hAnsi="Verdana"/>
                <w:b/>
                <w:bCs/>
                <w:sz w:val="18"/>
                <w:szCs w:val="18"/>
              </w:rPr>
              <w:t>Current Multiplier</w:t>
            </w:r>
            <w:r>
              <w:rPr>
                <w:rFonts w:ascii="Verdana" w:hAnsi="Verdana"/>
                <w:b/>
                <w:bCs/>
                <w:sz w:val="18"/>
                <w:szCs w:val="18"/>
              </w:rPr>
              <w:t xml:space="preserve"> (Council Agreed)</w:t>
            </w:r>
          </w:p>
          <w:p w14:paraId="6EC2289D" w14:textId="77777777" w:rsidR="006425FD" w:rsidRPr="00340DA8" w:rsidRDefault="006425FD" w:rsidP="006425FD">
            <w:pPr>
              <w:jc w:val="center"/>
              <w:rPr>
                <w:rFonts w:ascii="Verdana" w:hAnsi="Verdana"/>
                <w:b/>
                <w:bCs/>
                <w:sz w:val="18"/>
                <w:szCs w:val="18"/>
              </w:rPr>
            </w:pPr>
          </w:p>
        </w:tc>
        <w:tc>
          <w:tcPr>
            <w:tcW w:w="1418" w:type="dxa"/>
          </w:tcPr>
          <w:p w14:paraId="4F4871E5" w14:textId="28A4ABC7" w:rsidR="006425FD" w:rsidRDefault="006425FD" w:rsidP="006425FD">
            <w:pPr>
              <w:jc w:val="center"/>
              <w:rPr>
                <w:rFonts w:ascii="Verdana" w:hAnsi="Verdana"/>
                <w:b/>
                <w:bCs/>
                <w:sz w:val="18"/>
                <w:szCs w:val="18"/>
              </w:rPr>
            </w:pPr>
            <w:r>
              <w:rPr>
                <w:rFonts w:ascii="Verdana" w:hAnsi="Verdana"/>
                <w:b/>
                <w:bCs/>
                <w:sz w:val="18"/>
                <w:szCs w:val="18"/>
              </w:rPr>
              <w:t>Rec’d Allowance 2020/21</w:t>
            </w:r>
          </w:p>
          <w:p w14:paraId="2A3D498C" w14:textId="77777777" w:rsidR="006425FD" w:rsidRDefault="006425FD" w:rsidP="006425FD">
            <w:pPr>
              <w:jc w:val="center"/>
              <w:rPr>
                <w:rFonts w:ascii="Verdana" w:hAnsi="Verdana"/>
                <w:b/>
                <w:bCs/>
                <w:sz w:val="18"/>
                <w:szCs w:val="18"/>
              </w:rPr>
            </w:pPr>
            <w:r>
              <w:rPr>
                <w:rFonts w:ascii="Verdana" w:hAnsi="Verdana"/>
                <w:b/>
                <w:bCs/>
                <w:sz w:val="18"/>
                <w:szCs w:val="18"/>
              </w:rPr>
              <w:t>(IRP)</w:t>
            </w:r>
          </w:p>
          <w:p w14:paraId="0D52A755" w14:textId="0C3B38F5" w:rsidR="00E32B77" w:rsidRPr="00340DA8" w:rsidRDefault="00E32B77" w:rsidP="006425FD">
            <w:pPr>
              <w:jc w:val="center"/>
              <w:rPr>
                <w:rFonts w:ascii="Verdana" w:hAnsi="Verdana"/>
                <w:b/>
                <w:bCs/>
                <w:sz w:val="18"/>
                <w:szCs w:val="18"/>
              </w:rPr>
            </w:pPr>
            <w:r>
              <w:rPr>
                <w:rFonts w:ascii="Verdana" w:hAnsi="Verdana"/>
                <w:b/>
                <w:bCs/>
                <w:sz w:val="18"/>
                <w:szCs w:val="18"/>
              </w:rPr>
              <w:t>£</w:t>
            </w:r>
          </w:p>
        </w:tc>
        <w:tc>
          <w:tcPr>
            <w:tcW w:w="1276" w:type="dxa"/>
          </w:tcPr>
          <w:p w14:paraId="223348D3" w14:textId="77777777" w:rsidR="006425FD" w:rsidRPr="00340DA8" w:rsidRDefault="006425FD" w:rsidP="006425FD">
            <w:pPr>
              <w:jc w:val="center"/>
              <w:rPr>
                <w:rFonts w:ascii="Verdana" w:hAnsi="Verdana"/>
                <w:b/>
                <w:bCs/>
                <w:sz w:val="18"/>
                <w:szCs w:val="18"/>
              </w:rPr>
            </w:pPr>
            <w:r w:rsidRPr="00340DA8">
              <w:rPr>
                <w:rFonts w:ascii="Verdana" w:hAnsi="Verdana"/>
                <w:b/>
                <w:bCs/>
                <w:sz w:val="18"/>
                <w:szCs w:val="18"/>
              </w:rPr>
              <w:t>Current Allowance</w:t>
            </w:r>
          </w:p>
          <w:p w14:paraId="247D8CDD" w14:textId="35ACEF73" w:rsidR="006425FD" w:rsidRDefault="006425FD" w:rsidP="006425FD">
            <w:pPr>
              <w:jc w:val="center"/>
              <w:rPr>
                <w:rFonts w:ascii="Verdana" w:hAnsi="Verdana"/>
                <w:b/>
                <w:bCs/>
                <w:sz w:val="18"/>
                <w:szCs w:val="18"/>
              </w:rPr>
            </w:pPr>
            <w:r>
              <w:rPr>
                <w:rFonts w:ascii="Verdana" w:hAnsi="Verdana"/>
                <w:b/>
                <w:bCs/>
                <w:sz w:val="18"/>
                <w:szCs w:val="18"/>
              </w:rPr>
              <w:t>2020/21</w:t>
            </w:r>
          </w:p>
          <w:p w14:paraId="466AEB8A" w14:textId="5704D237" w:rsidR="006425FD" w:rsidRDefault="006425FD" w:rsidP="006425FD">
            <w:pPr>
              <w:jc w:val="center"/>
              <w:rPr>
                <w:rFonts w:ascii="Verdana" w:hAnsi="Verdana"/>
                <w:b/>
                <w:bCs/>
                <w:sz w:val="18"/>
                <w:szCs w:val="18"/>
              </w:rPr>
            </w:pPr>
            <w:r>
              <w:rPr>
                <w:rFonts w:ascii="Verdana" w:hAnsi="Verdana"/>
                <w:b/>
                <w:bCs/>
                <w:sz w:val="18"/>
                <w:szCs w:val="18"/>
              </w:rPr>
              <w:t>(Council Agreed)</w:t>
            </w:r>
          </w:p>
          <w:p w14:paraId="6F015F32" w14:textId="22ADEB7D" w:rsidR="00E32B77" w:rsidRPr="00340DA8" w:rsidRDefault="00E32B77" w:rsidP="006425FD">
            <w:pPr>
              <w:jc w:val="center"/>
              <w:rPr>
                <w:rFonts w:ascii="Verdana" w:hAnsi="Verdana"/>
                <w:b/>
                <w:bCs/>
                <w:sz w:val="18"/>
                <w:szCs w:val="18"/>
              </w:rPr>
            </w:pPr>
            <w:r>
              <w:rPr>
                <w:rFonts w:ascii="Verdana" w:hAnsi="Verdana"/>
                <w:b/>
                <w:bCs/>
                <w:sz w:val="18"/>
                <w:szCs w:val="18"/>
              </w:rPr>
              <w:t>£</w:t>
            </w:r>
          </w:p>
          <w:p w14:paraId="653BE5E6" w14:textId="77777777" w:rsidR="006425FD" w:rsidRPr="00340DA8" w:rsidRDefault="006425FD" w:rsidP="006425FD">
            <w:pPr>
              <w:jc w:val="center"/>
              <w:rPr>
                <w:rFonts w:ascii="Verdana" w:hAnsi="Verdana"/>
                <w:b/>
                <w:bCs/>
                <w:sz w:val="18"/>
                <w:szCs w:val="18"/>
              </w:rPr>
            </w:pPr>
          </w:p>
        </w:tc>
        <w:tc>
          <w:tcPr>
            <w:tcW w:w="1842" w:type="dxa"/>
          </w:tcPr>
          <w:p w14:paraId="6D752FB7" w14:textId="77777777" w:rsidR="006425FD" w:rsidRDefault="006425FD" w:rsidP="006425FD">
            <w:pPr>
              <w:jc w:val="center"/>
              <w:rPr>
                <w:rFonts w:ascii="Verdana" w:hAnsi="Verdana"/>
                <w:b/>
                <w:bCs/>
                <w:sz w:val="18"/>
                <w:szCs w:val="18"/>
              </w:rPr>
            </w:pPr>
            <w:r w:rsidRPr="00340DA8">
              <w:rPr>
                <w:rFonts w:ascii="Verdana" w:hAnsi="Verdana"/>
                <w:b/>
                <w:bCs/>
                <w:sz w:val="18"/>
                <w:szCs w:val="18"/>
              </w:rPr>
              <w:t>Rec</w:t>
            </w:r>
            <w:r>
              <w:rPr>
                <w:rFonts w:ascii="Verdana" w:hAnsi="Verdana"/>
                <w:b/>
                <w:bCs/>
                <w:sz w:val="18"/>
                <w:szCs w:val="18"/>
              </w:rPr>
              <w:t>’</w:t>
            </w:r>
            <w:r w:rsidRPr="00340DA8">
              <w:rPr>
                <w:rFonts w:ascii="Verdana" w:hAnsi="Verdana"/>
                <w:b/>
                <w:bCs/>
                <w:sz w:val="18"/>
                <w:szCs w:val="18"/>
              </w:rPr>
              <w:t>d Multiplier 2021/22</w:t>
            </w:r>
          </w:p>
          <w:p w14:paraId="299D04F9" w14:textId="527AD6DC" w:rsidR="00E32B77" w:rsidRPr="00340DA8" w:rsidRDefault="00E32B77" w:rsidP="006425FD">
            <w:pPr>
              <w:jc w:val="center"/>
              <w:rPr>
                <w:rFonts w:ascii="Verdana" w:hAnsi="Verdana"/>
                <w:b/>
                <w:bCs/>
                <w:sz w:val="18"/>
                <w:szCs w:val="18"/>
              </w:rPr>
            </w:pPr>
            <w:r>
              <w:rPr>
                <w:rFonts w:ascii="Verdana" w:hAnsi="Verdana"/>
                <w:b/>
                <w:bCs/>
                <w:sz w:val="18"/>
                <w:szCs w:val="18"/>
              </w:rPr>
              <w:t>(IRP)</w:t>
            </w:r>
          </w:p>
        </w:tc>
        <w:tc>
          <w:tcPr>
            <w:tcW w:w="1701" w:type="dxa"/>
          </w:tcPr>
          <w:p w14:paraId="07D49AB4" w14:textId="7FF6B677" w:rsidR="006425FD" w:rsidRPr="004233B6" w:rsidRDefault="006425FD" w:rsidP="006425FD">
            <w:pPr>
              <w:jc w:val="center"/>
              <w:rPr>
                <w:rFonts w:ascii="Verdana" w:hAnsi="Verdana"/>
                <w:b/>
                <w:bCs/>
                <w:sz w:val="18"/>
                <w:szCs w:val="18"/>
              </w:rPr>
            </w:pPr>
            <w:r w:rsidRPr="004233B6">
              <w:rPr>
                <w:rFonts w:ascii="Verdana" w:hAnsi="Verdana"/>
                <w:b/>
                <w:bCs/>
                <w:sz w:val="18"/>
                <w:szCs w:val="18"/>
              </w:rPr>
              <w:t>Rec</w:t>
            </w:r>
            <w:r w:rsidR="00E32B77">
              <w:rPr>
                <w:rFonts w:ascii="Verdana" w:hAnsi="Verdana"/>
                <w:b/>
                <w:bCs/>
                <w:sz w:val="18"/>
                <w:szCs w:val="18"/>
              </w:rPr>
              <w:t>’</w:t>
            </w:r>
            <w:r w:rsidRPr="004233B6">
              <w:rPr>
                <w:rFonts w:ascii="Verdana" w:hAnsi="Verdana"/>
                <w:b/>
                <w:bCs/>
                <w:sz w:val="18"/>
                <w:szCs w:val="18"/>
              </w:rPr>
              <w:t>d Allowance</w:t>
            </w:r>
          </w:p>
          <w:p w14:paraId="63B543FA" w14:textId="77777777" w:rsidR="006425FD" w:rsidRDefault="00E32B77" w:rsidP="006425FD">
            <w:pPr>
              <w:jc w:val="center"/>
              <w:rPr>
                <w:rFonts w:ascii="Verdana" w:hAnsi="Verdana"/>
                <w:b/>
                <w:bCs/>
                <w:sz w:val="18"/>
                <w:szCs w:val="18"/>
              </w:rPr>
            </w:pPr>
            <w:r>
              <w:rPr>
                <w:rFonts w:ascii="Verdana" w:hAnsi="Verdana"/>
                <w:b/>
                <w:bCs/>
                <w:sz w:val="18"/>
                <w:szCs w:val="18"/>
              </w:rPr>
              <w:t>2021/22</w:t>
            </w:r>
          </w:p>
          <w:p w14:paraId="1A4A1D7A" w14:textId="77777777" w:rsidR="00E32B77" w:rsidRDefault="00E32B77" w:rsidP="006425FD">
            <w:pPr>
              <w:jc w:val="center"/>
              <w:rPr>
                <w:rFonts w:ascii="Verdana" w:hAnsi="Verdana"/>
                <w:b/>
                <w:bCs/>
                <w:sz w:val="18"/>
                <w:szCs w:val="18"/>
              </w:rPr>
            </w:pPr>
            <w:r>
              <w:rPr>
                <w:rFonts w:ascii="Verdana" w:hAnsi="Verdana"/>
                <w:b/>
                <w:bCs/>
                <w:sz w:val="18"/>
                <w:szCs w:val="18"/>
              </w:rPr>
              <w:t>(IRP)</w:t>
            </w:r>
          </w:p>
          <w:p w14:paraId="023FA17E" w14:textId="2859A11F" w:rsidR="00E32B77" w:rsidRPr="004233B6" w:rsidRDefault="00E32B77" w:rsidP="006425FD">
            <w:pPr>
              <w:jc w:val="center"/>
              <w:rPr>
                <w:rFonts w:ascii="Verdana" w:hAnsi="Verdana"/>
                <w:b/>
                <w:bCs/>
                <w:sz w:val="18"/>
                <w:szCs w:val="18"/>
              </w:rPr>
            </w:pPr>
            <w:r>
              <w:rPr>
                <w:rFonts w:ascii="Verdana" w:hAnsi="Verdana"/>
                <w:b/>
                <w:bCs/>
                <w:sz w:val="18"/>
                <w:szCs w:val="18"/>
              </w:rPr>
              <w:t>£</w:t>
            </w:r>
          </w:p>
        </w:tc>
      </w:tr>
      <w:tr w:rsidR="006425FD" w14:paraId="00F73423" w14:textId="77777777" w:rsidTr="00E32B77">
        <w:tc>
          <w:tcPr>
            <w:tcW w:w="1702" w:type="dxa"/>
          </w:tcPr>
          <w:p w14:paraId="283D49B1" w14:textId="77777777" w:rsidR="006425FD" w:rsidRDefault="006425FD" w:rsidP="006425FD">
            <w:pPr>
              <w:rPr>
                <w:rFonts w:ascii="Verdana" w:hAnsi="Verdana"/>
                <w:sz w:val="20"/>
                <w:szCs w:val="20"/>
              </w:rPr>
            </w:pPr>
          </w:p>
          <w:p w14:paraId="5240D7E0" w14:textId="77777777" w:rsidR="006425FD" w:rsidRPr="00340DA8" w:rsidRDefault="006425FD" w:rsidP="006425FD">
            <w:pPr>
              <w:rPr>
                <w:rFonts w:ascii="Verdana" w:hAnsi="Verdana"/>
                <w:sz w:val="20"/>
                <w:szCs w:val="20"/>
              </w:rPr>
            </w:pPr>
            <w:r w:rsidRPr="00340DA8">
              <w:rPr>
                <w:rFonts w:ascii="Verdana" w:hAnsi="Verdana"/>
                <w:sz w:val="20"/>
                <w:szCs w:val="20"/>
              </w:rPr>
              <w:t>Basic Allowance for all Councillors</w:t>
            </w:r>
          </w:p>
          <w:p w14:paraId="1CA69EA5" w14:textId="77777777" w:rsidR="006425FD" w:rsidRPr="00340DA8" w:rsidRDefault="006425FD" w:rsidP="006425FD">
            <w:pPr>
              <w:rPr>
                <w:rFonts w:ascii="Verdana" w:hAnsi="Verdana"/>
                <w:sz w:val="20"/>
                <w:szCs w:val="20"/>
              </w:rPr>
            </w:pPr>
          </w:p>
        </w:tc>
        <w:tc>
          <w:tcPr>
            <w:tcW w:w="1247" w:type="dxa"/>
          </w:tcPr>
          <w:p w14:paraId="3F20D37E" w14:textId="77777777" w:rsidR="006425FD" w:rsidRPr="00340DA8" w:rsidRDefault="006425FD" w:rsidP="006425FD">
            <w:pPr>
              <w:jc w:val="center"/>
              <w:rPr>
                <w:rFonts w:ascii="Verdana" w:hAnsi="Verdana"/>
                <w:sz w:val="20"/>
                <w:szCs w:val="20"/>
              </w:rPr>
            </w:pPr>
          </w:p>
          <w:p w14:paraId="695E6169" w14:textId="77777777" w:rsidR="006425FD" w:rsidRPr="00340DA8" w:rsidRDefault="006425FD" w:rsidP="006425FD">
            <w:pPr>
              <w:jc w:val="center"/>
              <w:rPr>
                <w:rFonts w:ascii="Verdana" w:hAnsi="Verdana"/>
                <w:sz w:val="20"/>
                <w:szCs w:val="20"/>
              </w:rPr>
            </w:pPr>
            <w:r w:rsidRPr="00340DA8">
              <w:rPr>
                <w:rFonts w:ascii="Verdana" w:hAnsi="Verdana"/>
                <w:sz w:val="20"/>
                <w:szCs w:val="20"/>
              </w:rPr>
              <w:t>1</w:t>
            </w:r>
          </w:p>
        </w:tc>
        <w:tc>
          <w:tcPr>
            <w:tcW w:w="1275" w:type="dxa"/>
          </w:tcPr>
          <w:p w14:paraId="64CBF4C6" w14:textId="77777777" w:rsidR="006425FD" w:rsidRPr="00340DA8" w:rsidRDefault="006425FD" w:rsidP="006425FD">
            <w:pPr>
              <w:jc w:val="center"/>
              <w:rPr>
                <w:rFonts w:ascii="Verdana" w:hAnsi="Verdana"/>
                <w:sz w:val="20"/>
                <w:szCs w:val="20"/>
              </w:rPr>
            </w:pPr>
          </w:p>
          <w:p w14:paraId="7F7A44E4" w14:textId="77777777" w:rsidR="006425FD" w:rsidRPr="00340DA8" w:rsidRDefault="006425FD" w:rsidP="006425FD">
            <w:pPr>
              <w:jc w:val="center"/>
              <w:rPr>
                <w:rFonts w:ascii="Verdana" w:hAnsi="Verdana"/>
                <w:sz w:val="20"/>
                <w:szCs w:val="20"/>
              </w:rPr>
            </w:pPr>
            <w:r w:rsidRPr="00340DA8">
              <w:rPr>
                <w:rFonts w:ascii="Verdana" w:hAnsi="Verdana"/>
                <w:sz w:val="20"/>
                <w:szCs w:val="20"/>
              </w:rPr>
              <w:t>1</w:t>
            </w:r>
          </w:p>
        </w:tc>
        <w:tc>
          <w:tcPr>
            <w:tcW w:w="1418" w:type="dxa"/>
          </w:tcPr>
          <w:p w14:paraId="6D05F302" w14:textId="77777777" w:rsidR="006425FD" w:rsidRDefault="006425FD" w:rsidP="006425FD">
            <w:pPr>
              <w:jc w:val="center"/>
              <w:rPr>
                <w:rFonts w:ascii="Verdana" w:hAnsi="Verdana"/>
                <w:sz w:val="20"/>
                <w:szCs w:val="20"/>
              </w:rPr>
            </w:pPr>
          </w:p>
          <w:p w14:paraId="4E5C0167" w14:textId="733DE90C" w:rsidR="00E32B77" w:rsidRPr="00340DA8" w:rsidRDefault="00E32B77" w:rsidP="006425FD">
            <w:pPr>
              <w:jc w:val="center"/>
              <w:rPr>
                <w:rFonts w:ascii="Verdana" w:hAnsi="Verdana"/>
                <w:sz w:val="20"/>
                <w:szCs w:val="20"/>
              </w:rPr>
            </w:pPr>
            <w:r>
              <w:rPr>
                <w:rFonts w:ascii="Verdana" w:hAnsi="Verdana"/>
                <w:sz w:val="20"/>
                <w:szCs w:val="20"/>
              </w:rPr>
              <w:t>4,526</w:t>
            </w:r>
          </w:p>
        </w:tc>
        <w:tc>
          <w:tcPr>
            <w:tcW w:w="1276" w:type="dxa"/>
          </w:tcPr>
          <w:p w14:paraId="7F91B553" w14:textId="77777777" w:rsidR="006425FD" w:rsidRPr="00340DA8" w:rsidRDefault="006425FD" w:rsidP="006425FD">
            <w:pPr>
              <w:jc w:val="center"/>
              <w:rPr>
                <w:rFonts w:ascii="Verdana" w:hAnsi="Verdana"/>
                <w:sz w:val="20"/>
                <w:szCs w:val="20"/>
              </w:rPr>
            </w:pPr>
          </w:p>
          <w:p w14:paraId="13E63674" w14:textId="7F54C7B6" w:rsidR="006425FD" w:rsidRPr="00340DA8" w:rsidRDefault="006425FD" w:rsidP="006425FD">
            <w:pPr>
              <w:jc w:val="center"/>
              <w:rPr>
                <w:rFonts w:ascii="Verdana" w:hAnsi="Verdana"/>
                <w:sz w:val="20"/>
                <w:szCs w:val="20"/>
              </w:rPr>
            </w:pPr>
            <w:r>
              <w:rPr>
                <w:rFonts w:ascii="Verdana" w:hAnsi="Verdana"/>
                <w:sz w:val="20"/>
                <w:szCs w:val="20"/>
              </w:rPr>
              <w:t>4,437</w:t>
            </w:r>
          </w:p>
          <w:p w14:paraId="133E8DC7" w14:textId="77777777" w:rsidR="006425FD" w:rsidRPr="00340DA8" w:rsidRDefault="006425FD" w:rsidP="006425FD">
            <w:pPr>
              <w:jc w:val="center"/>
              <w:rPr>
                <w:rFonts w:ascii="Verdana" w:hAnsi="Verdana"/>
                <w:sz w:val="20"/>
                <w:szCs w:val="20"/>
              </w:rPr>
            </w:pPr>
          </w:p>
        </w:tc>
        <w:tc>
          <w:tcPr>
            <w:tcW w:w="1842" w:type="dxa"/>
          </w:tcPr>
          <w:p w14:paraId="10B1CD6D" w14:textId="45EF9547" w:rsidR="006425FD" w:rsidRPr="00340DA8" w:rsidRDefault="006425FD" w:rsidP="006425FD">
            <w:pPr>
              <w:jc w:val="center"/>
              <w:rPr>
                <w:rFonts w:ascii="Verdana" w:hAnsi="Verdana"/>
                <w:sz w:val="20"/>
                <w:szCs w:val="20"/>
              </w:rPr>
            </w:pPr>
          </w:p>
          <w:p w14:paraId="102285F9" w14:textId="77777777" w:rsidR="006425FD" w:rsidRPr="00340DA8" w:rsidRDefault="006425FD" w:rsidP="006425FD">
            <w:pPr>
              <w:jc w:val="center"/>
              <w:rPr>
                <w:rFonts w:ascii="Verdana" w:hAnsi="Verdana"/>
                <w:sz w:val="20"/>
                <w:szCs w:val="20"/>
              </w:rPr>
            </w:pPr>
            <w:r w:rsidRPr="00340DA8">
              <w:rPr>
                <w:rFonts w:ascii="Verdana" w:hAnsi="Verdana"/>
                <w:sz w:val="20"/>
                <w:szCs w:val="20"/>
              </w:rPr>
              <w:t>1</w:t>
            </w:r>
          </w:p>
        </w:tc>
        <w:tc>
          <w:tcPr>
            <w:tcW w:w="1701" w:type="dxa"/>
          </w:tcPr>
          <w:p w14:paraId="177A5DDA" w14:textId="77777777" w:rsidR="006425FD" w:rsidRPr="004233B6" w:rsidRDefault="006425FD" w:rsidP="006425FD">
            <w:pPr>
              <w:jc w:val="center"/>
              <w:rPr>
                <w:rFonts w:ascii="Verdana" w:hAnsi="Verdana"/>
                <w:sz w:val="20"/>
                <w:szCs w:val="20"/>
              </w:rPr>
            </w:pPr>
          </w:p>
          <w:p w14:paraId="4C6F371B" w14:textId="1186E6E6" w:rsidR="006425FD" w:rsidRPr="004233B6" w:rsidRDefault="006425FD" w:rsidP="006425FD">
            <w:pPr>
              <w:jc w:val="center"/>
              <w:rPr>
                <w:rFonts w:ascii="Verdana" w:hAnsi="Verdana"/>
                <w:sz w:val="20"/>
                <w:szCs w:val="20"/>
              </w:rPr>
            </w:pPr>
            <w:r w:rsidRPr="004233B6">
              <w:rPr>
                <w:rFonts w:ascii="Verdana" w:hAnsi="Verdana"/>
                <w:sz w:val="20"/>
                <w:szCs w:val="20"/>
              </w:rPr>
              <w:t>4,650</w:t>
            </w:r>
          </w:p>
        </w:tc>
      </w:tr>
      <w:tr w:rsidR="006425FD" w14:paraId="188D315B" w14:textId="77777777" w:rsidTr="00E32B77">
        <w:tc>
          <w:tcPr>
            <w:tcW w:w="1702" w:type="dxa"/>
          </w:tcPr>
          <w:p w14:paraId="3B6DDBD0" w14:textId="77777777" w:rsidR="006425FD" w:rsidRPr="00340DA8" w:rsidRDefault="006425FD" w:rsidP="006425FD">
            <w:pPr>
              <w:rPr>
                <w:rFonts w:ascii="Verdana" w:hAnsi="Verdana"/>
                <w:sz w:val="20"/>
                <w:szCs w:val="20"/>
              </w:rPr>
            </w:pPr>
            <w:r w:rsidRPr="00340DA8">
              <w:rPr>
                <w:rFonts w:ascii="Verdana" w:hAnsi="Verdana"/>
                <w:sz w:val="20"/>
                <w:szCs w:val="20"/>
              </w:rPr>
              <w:t>Leader</w:t>
            </w:r>
          </w:p>
          <w:p w14:paraId="00968AC7" w14:textId="77777777" w:rsidR="006425FD" w:rsidRPr="00340DA8" w:rsidRDefault="006425FD" w:rsidP="006425FD">
            <w:pPr>
              <w:rPr>
                <w:rFonts w:ascii="Verdana" w:hAnsi="Verdana"/>
                <w:sz w:val="20"/>
                <w:szCs w:val="20"/>
              </w:rPr>
            </w:pPr>
          </w:p>
        </w:tc>
        <w:tc>
          <w:tcPr>
            <w:tcW w:w="1247" w:type="dxa"/>
          </w:tcPr>
          <w:p w14:paraId="2A56A5BF" w14:textId="02A1E5D4" w:rsidR="006425FD" w:rsidRPr="00340DA8" w:rsidRDefault="006425FD" w:rsidP="006425FD">
            <w:pPr>
              <w:jc w:val="center"/>
              <w:rPr>
                <w:rFonts w:ascii="Verdana" w:hAnsi="Verdana"/>
                <w:sz w:val="20"/>
                <w:szCs w:val="20"/>
              </w:rPr>
            </w:pPr>
            <w:r>
              <w:rPr>
                <w:rFonts w:ascii="Verdana" w:hAnsi="Verdana"/>
                <w:sz w:val="20"/>
                <w:szCs w:val="20"/>
              </w:rPr>
              <w:t>3</w:t>
            </w:r>
          </w:p>
        </w:tc>
        <w:tc>
          <w:tcPr>
            <w:tcW w:w="1275" w:type="dxa"/>
          </w:tcPr>
          <w:p w14:paraId="592165BB" w14:textId="17FAA094" w:rsidR="006425FD" w:rsidRPr="00340DA8" w:rsidRDefault="006425FD" w:rsidP="006425FD">
            <w:pPr>
              <w:jc w:val="center"/>
              <w:rPr>
                <w:rFonts w:ascii="Verdana" w:hAnsi="Verdana"/>
                <w:sz w:val="20"/>
                <w:szCs w:val="20"/>
              </w:rPr>
            </w:pPr>
            <w:r>
              <w:rPr>
                <w:rFonts w:ascii="Verdana" w:hAnsi="Verdana"/>
                <w:sz w:val="20"/>
                <w:szCs w:val="20"/>
              </w:rPr>
              <w:t>3</w:t>
            </w:r>
          </w:p>
        </w:tc>
        <w:tc>
          <w:tcPr>
            <w:tcW w:w="1418" w:type="dxa"/>
          </w:tcPr>
          <w:p w14:paraId="34BDEA73" w14:textId="6E09371A" w:rsidR="006425FD" w:rsidRDefault="00E32B77" w:rsidP="006425FD">
            <w:pPr>
              <w:jc w:val="center"/>
              <w:rPr>
                <w:rFonts w:ascii="Verdana" w:hAnsi="Verdana"/>
                <w:sz w:val="18"/>
                <w:szCs w:val="18"/>
              </w:rPr>
            </w:pPr>
            <w:r>
              <w:rPr>
                <w:rFonts w:ascii="Verdana" w:hAnsi="Verdana"/>
                <w:sz w:val="18"/>
                <w:szCs w:val="18"/>
              </w:rPr>
              <w:t>13,578</w:t>
            </w:r>
          </w:p>
          <w:p w14:paraId="597D8007" w14:textId="215C7695" w:rsidR="00E32B77" w:rsidRPr="00C54F6C" w:rsidRDefault="00E32B77" w:rsidP="006425FD">
            <w:pPr>
              <w:jc w:val="center"/>
              <w:rPr>
                <w:rFonts w:ascii="Verdana" w:hAnsi="Verdana"/>
                <w:sz w:val="18"/>
                <w:szCs w:val="18"/>
              </w:rPr>
            </w:pPr>
          </w:p>
        </w:tc>
        <w:tc>
          <w:tcPr>
            <w:tcW w:w="1276" w:type="dxa"/>
          </w:tcPr>
          <w:p w14:paraId="4617A2AB" w14:textId="01C3B904" w:rsidR="006425FD" w:rsidRPr="00C54F6C" w:rsidRDefault="006425FD" w:rsidP="006425FD">
            <w:pPr>
              <w:jc w:val="center"/>
              <w:rPr>
                <w:rFonts w:ascii="Verdana" w:hAnsi="Verdana"/>
                <w:sz w:val="18"/>
                <w:szCs w:val="18"/>
              </w:rPr>
            </w:pPr>
            <w:r>
              <w:rPr>
                <w:rFonts w:ascii="Verdana" w:hAnsi="Verdana"/>
                <w:sz w:val="20"/>
                <w:szCs w:val="20"/>
              </w:rPr>
              <w:t>13,311</w:t>
            </w:r>
          </w:p>
        </w:tc>
        <w:tc>
          <w:tcPr>
            <w:tcW w:w="1842" w:type="dxa"/>
          </w:tcPr>
          <w:p w14:paraId="71489800" w14:textId="61D1BB9F" w:rsidR="006425FD" w:rsidRPr="00C54F6C" w:rsidRDefault="006425FD" w:rsidP="006425FD">
            <w:pPr>
              <w:jc w:val="center"/>
              <w:rPr>
                <w:rFonts w:ascii="Verdana" w:hAnsi="Verdana"/>
                <w:sz w:val="18"/>
                <w:szCs w:val="18"/>
              </w:rPr>
            </w:pPr>
            <w:r w:rsidRPr="00C54F6C">
              <w:rPr>
                <w:rFonts w:ascii="Verdana" w:hAnsi="Verdana"/>
                <w:sz w:val="18"/>
                <w:szCs w:val="18"/>
              </w:rPr>
              <w:t>No change from recommendation in 2020/21</w:t>
            </w:r>
          </w:p>
          <w:p w14:paraId="08FC3116" w14:textId="77777777" w:rsidR="006425FD" w:rsidRPr="00340DA8" w:rsidRDefault="006425FD" w:rsidP="006425FD">
            <w:pPr>
              <w:jc w:val="center"/>
              <w:rPr>
                <w:rFonts w:ascii="Verdana" w:hAnsi="Verdana"/>
                <w:sz w:val="20"/>
                <w:szCs w:val="20"/>
              </w:rPr>
            </w:pPr>
          </w:p>
        </w:tc>
        <w:tc>
          <w:tcPr>
            <w:tcW w:w="1701" w:type="dxa"/>
          </w:tcPr>
          <w:p w14:paraId="4DF3E0D9" w14:textId="7713A2DF" w:rsidR="006425FD" w:rsidRPr="004233B6" w:rsidRDefault="006425FD" w:rsidP="006425FD">
            <w:pPr>
              <w:jc w:val="center"/>
              <w:rPr>
                <w:rFonts w:ascii="Verdana" w:hAnsi="Verdana"/>
                <w:sz w:val="20"/>
                <w:szCs w:val="20"/>
              </w:rPr>
            </w:pPr>
            <w:r w:rsidRPr="004233B6">
              <w:rPr>
                <w:rFonts w:ascii="Verdana" w:hAnsi="Verdana"/>
                <w:sz w:val="20"/>
                <w:szCs w:val="20"/>
              </w:rPr>
              <w:t>13,950</w:t>
            </w:r>
          </w:p>
        </w:tc>
      </w:tr>
      <w:tr w:rsidR="006425FD" w14:paraId="135F59B4" w14:textId="77777777" w:rsidTr="00E32B77">
        <w:tc>
          <w:tcPr>
            <w:tcW w:w="1702" w:type="dxa"/>
          </w:tcPr>
          <w:p w14:paraId="7BAB3118" w14:textId="77777777" w:rsidR="006425FD" w:rsidRPr="00340DA8" w:rsidRDefault="006425FD" w:rsidP="006425FD">
            <w:pPr>
              <w:rPr>
                <w:rFonts w:ascii="Verdana" w:hAnsi="Verdana"/>
                <w:sz w:val="20"/>
                <w:szCs w:val="20"/>
              </w:rPr>
            </w:pPr>
            <w:r w:rsidRPr="00340DA8">
              <w:rPr>
                <w:rFonts w:ascii="Verdana" w:hAnsi="Verdana"/>
                <w:sz w:val="20"/>
                <w:szCs w:val="20"/>
              </w:rPr>
              <w:t>Deputy Leader</w:t>
            </w:r>
          </w:p>
          <w:p w14:paraId="71875908" w14:textId="77777777" w:rsidR="006425FD" w:rsidRPr="00340DA8" w:rsidRDefault="006425FD" w:rsidP="006425FD">
            <w:pPr>
              <w:rPr>
                <w:rFonts w:ascii="Verdana" w:hAnsi="Verdana"/>
                <w:sz w:val="20"/>
                <w:szCs w:val="20"/>
              </w:rPr>
            </w:pPr>
          </w:p>
        </w:tc>
        <w:tc>
          <w:tcPr>
            <w:tcW w:w="1247" w:type="dxa"/>
          </w:tcPr>
          <w:p w14:paraId="706F76B9" w14:textId="23827B0A" w:rsidR="006425FD" w:rsidRPr="00340DA8" w:rsidRDefault="006425FD" w:rsidP="006425FD">
            <w:pPr>
              <w:jc w:val="center"/>
              <w:rPr>
                <w:rFonts w:ascii="Verdana" w:hAnsi="Verdana"/>
                <w:sz w:val="20"/>
                <w:szCs w:val="20"/>
              </w:rPr>
            </w:pPr>
            <w:r>
              <w:rPr>
                <w:rFonts w:ascii="Verdana" w:hAnsi="Verdana"/>
                <w:sz w:val="20"/>
                <w:szCs w:val="20"/>
              </w:rPr>
              <w:t>1.75</w:t>
            </w:r>
          </w:p>
        </w:tc>
        <w:tc>
          <w:tcPr>
            <w:tcW w:w="1275" w:type="dxa"/>
          </w:tcPr>
          <w:p w14:paraId="7F2A89EB" w14:textId="0C48DA6D" w:rsidR="006425FD" w:rsidRPr="00340DA8" w:rsidRDefault="006425FD" w:rsidP="006425FD">
            <w:pPr>
              <w:jc w:val="center"/>
              <w:rPr>
                <w:rFonts w:ascii="Verdana" w:hAnsi="Verdana"/>
                <w:sz w:val="20"/>
                <w:szCs w:val="20"/>
              </w:rPr>
            </w:pPr>
            <w:r>
              <w:rPr>
                <w:rFonts w:ascii="Verdana" w:hAnsi="Verdana"/>
                <w:sz w:val="20"/>
                <w:szCs w:val="20"/>
              </w:rPr>
              <w:t>1.75</w:t>
            </w:r>
          </w:p>
        </w:tc>
        <w:tc>
          <w:tcPr>
            <w:tcW w:w="1418" w:type="dxa"/>
          </w:tcPr>
          <w:p w14:paraId="6A38D090" w14:textId="0D7BCF76" w:rsidR="006425FD" w:rsidRPr="00C54F6C" w:rsidRDefault="00E32B77" w:rsidP="006425FD">
            <w:pPr>
              <w:jc w:val="center"/>
              <w:rPr>
                <w:rFonts w:ascii="Verdana" w:hAnsi="Verdana"/>
                <w:sz w:val="18"/>
                <w:szCs w:val="18"/>
              </w:rPr>
            </w:pPr>
            <w:r>
              <w:rPr>
                <w:rFonts w:ascii="Verdana" w:hAnsi="Verdana"/>
                <w:sz w:val="18"/>
                <w:szCs w:val="18"/>
              </w:rPr>
              <w:t>7,920.50</w:t>
            </w:r>
          </w:p>
        </w:tc>
        <w:tc>
          <w:tcPr>
            <w:tcW w:w="1276" w:type="dxa"/>
          </w:tcPr>
          <w:p w14:paraId="0A29B4EF" w14:textId="4C9D7CC2" w:rsidR="006425FD" w:rsidRPr="00C54F6C" w:rsidRDefault="006425FD" w:rsidP="006425FD">
            <w:pPr>
              <w:jc w:val="center"/>
              <w:rPr>
                <w:rFonts w:ascii="Verdana" w:hAnsi="Verdana"/>
                <w:sz w:val="18"/>
                <w:szCs w:val="18"/>
              </w:rPr>
            </w:pPr>
            <w:r>
              <w:rPr>
                <w:rFonts w:ascii="Verdana" w:hAnsi="Verdana"/>
                <w:sz w:val="20"/>
                <w:szCs w:val="20"/>
              </w:rPr>
              <w:t>7,764.75</w:t>
            </w:r>
          </w:p>
        </w:tc>
        <w:tc>
          <w:tcPr>
            <w:tcW w:w="1842" w:type="dxa"/>
          </w:tcPr>
          <w:p w14:paraId="1DFA002C" w14:textId="13C86725" w:rsidR="006425FD" w:rsidRPr="00C54F6C" w:rsidRDefault="006425FD" w:rsidP="006425FD">
            <w:pPr>
              <w:jc w:val="center"/>
              <w:rPr>
                <w:rFonts w:ascii="Verdana" w:hAnsi="Verdana"/>
                <w:sz w:val="18"/>
                <w:szCs w:val="18"/>
              </w:rPr>
            </w:pPr>
            <w:r w:rsidRPr="00C54F6C">
              <w:rPr>
                <w:rFonts w:ascii="Verdana" w:hAnsi="Verdana"/>
                <w:sz w:val="18"/>
                <w:szCs w:val="18"/>
              </w:rPr>
              <w:t>No change from recommendation in 2020/21</w:t>
            </w:r>
          </w:p>
          <w:p w14:paraId="1AE55EF2" w14:textId="77777777" w:rsidR="006425FD" w:rsidRPr="00340DA8" w:rsidRDefault="006425FD" w:rsidP="006425FD">
            <w:pPr>
              <w:jc w:val="center"/>
              <w:rPr>
                <w:rFonts w:ascii="Verdana" w:hAnsi="Verdana"/>
                <w:sz w:val="20"/>
                <w:szCs w:val="20"/>
              </w:rPr>
            </w:pPr>
          </w:p>
        </w:tc>
        <w:tc>
          <w:tcPr>
            <w:tcW w:w="1701" w:type="dxa"/>
          </w:tcPr>
          <w:p w14:paraId="6C781DE9" w14:textId="4E919D74" w:rsidR="006425FD" w:rsidRPr="004233B6" w:rsidRDefault="006425FD" w:rsidP="006425FD">
            <w:pPr>
              <w:jc w:val="center"/>
              <w:rPr>
                <w:rFonts w:ascii="Verdana" w:hAnsi="Verdana"/>
                <w:sz w:val="20"/>
                <w:szCs w:val="20"/>
              </w:rPr>
            </w:pPr>
            <w:r w:rsidRPr="004233B6">
              <w:rPr>
                <w:rFonts w:ascii="Verdana" w:hAnsi="Verdana"/>
                <w:sz w:val="20"/>
                <w:szCs w:val="20"/>
              </w:rPr>
              <w:t>8,137.50</w:t>
            </w:r>
          </w:p>
        </w:tc>
      </w:tr>
      <w:tr w:rsidR="006425FD" w14:paraId="0AA7C43F" w14:textId="77777777" w:rsidTr="00E32B77">
        <w:tc>
          <w:tcPr>
            <w:tcW w:w="1702" w:type="dxa"/>
          </w:tcPr>
          <w:p w14:paraId="4C00FFD8" w14:textId="3C106C81" w:rsidR="006425FD" w:rsidRPr="00340DA8" w:rsidRDefault="006425FD" w:rsidP="006425FD">
            <w:pPr>
              <w:rPr>
                <w:rFonts w:ascii="Verdana" w:hAnsi="Verdana"/>
                <w:sz w:val="20"/>
                <w:szCs w:val="20"/>
              </w:rPr>
            </w:pPr>
            <w:r w:rsidRPr="00340DA8">
              <w:rPr>
                <w:rFonts w:ascii="Verdana" w:hAnsi="Verdana"/>
                <w:sz w:val="20"/>
                <w:szCs w:val="20"/>
              </w:rPr>
              <w:t>Portfolio Holders</w:t>
            </w:r>
          </w:p>
          <w:p w14:paraId="5D63D6D0" w14:textId="77777777" w:rsidR="006425FD" w:rsidRPr="00340DA8" w:rsidRDefault="006425FD" w:rsidP="006425FD">
            <w:pPr>
              <w:rPr>
                <w:rFonts w:ascii="Verdana" w:hAnsi="Verdana"/>
                <w:sz w:val="20"/>
                <w:szCs w:val="20"/>
              </w:rPr>
            </w:pPr>
          </w:p>
        </w:tc>
        <w:tc>
          <w:tcPr>
            <w:tcW w:w="1247" w:type="dxa"/>
          </w:tcPr>
          <w:p w14:paraId="5A34BF21" w14:textId="790CEC6C" w:rsidR="006425FD" w:rsidRPr="00340DA8" w:rsidRDefault="006425FD" w:rsidP="006425FD">
            <w:pPr>
              <w:jc w:val="center"/>
              <w:rPr>
                <w:rFonts w:ascii="Verdana" w:hAnsi="Verdana"/>
                <w:sz w:val="20"/>
                <w:szCs w:val="20"/>
              </w:rPr>
            </w:pPr>
            <w:r>
              <w:rPr>
                <w:rFonts w:ascii="Verdana" w:hAnsi="Verdana"/>
                <w:sz w:val="20"/>
                <w:szCs w:val="20"/>
              </w:rPr>
              <w:t>1.5</w:t>
            </w:r>
          </w:p>
        </w:tc>
        <w:tc>
          <w:tcPr>
            <w:tcW w:w="1275" w:type="dxa"/>
          </w:tcPr>
          <w:p w14:paraId="34953F76" w14:textId="0ABB3BF8" w:rsidR="006425FD" w:rsidRPr="00340DA8" w:rsidRDefault="006425FD" w:rsidP="006425FD">
            <w:pPr>
              <w:jc w:val="center"/>
              <w:rPr>
                <w:rFonts w:ascii="Verdana" w:hAnsi="Verdana"/>
                <w:sz w:val="20"/>
                <w:szCs w:val="20"/>
              </w:rPr>
            </w:pPr>
            <w:r>
              <w:rPr>
                <w:rFonts w:ascii="Verdana" w:hAnsi="Verdana"/>
                <w:sz w:val="20"/>
                <w:szCs w:val="20"/>
              </w:rPr>
              <w:t>1.5</w:t>
            </w:r>
          </w:p>
        </w:tc>
        <w:tc>
          <w:tcPr>
            <w:tcW w:w="1418" w:type="dxa"/>
          </w:tcPr>
          <w:p w14:paraId="212FA97D" w14:textId="11F16F71" w:rsidR="006425FD" w:rsidRPr="00C54F6C" w:rsidRDefault="00E32B77" w:rsidP="006425FD">
            <w:pPr>
              <w:jc w:val="center"/>
              <w:rPr>
                <w:rFonts w:ascii="Verdana" w:hAnsi="Verdana"/>
                <w:sz w:val="18"/>
                <w:szCs w:val="18"/>
              </w:rPr>
            </w:pPr>
            <w:r>
              <w:rPr>
                <w:rFonts w:ascii="Verdana" w:hAnsi="Verdana"/>
                <w:sz w:val="18"/>
                <w:szCs w:val="18"/>
              </w:rPr>
              <w:t>6,789</w:t>
            </w:r>
          </w:p>
        </w:tc>
        <w:tc>
          <w:tcPr>
            <w:tcW w:w="1276" w:type="dxa"/>
          </w:tcPr>
          <w:p w14:paraId="42C14350" w14:textId="50C8020F" w:rsidR="006425FD" w:rsidRPr="00C54F6C" w:rsidRDefault="006425FD" w:rsidP="006425FD">
            <w:pPr>
              <w:jc w:val="center"/>
              <w:rPr>
                <w:rFonts w:ascii="Verdana" w:hAnsi="Verdana"/>
                <w:sz w:val="18"/>
                <w:szCs w:val="18"/>
              </w:rPr>
            </w:pPr>
            <w:r>
              <w:rPr>
                <w:rFonts w:ascii="Verdana" w:hAnsi="Verdana"/>
                <w:sz w:val="20"/>
                <w:szCs w:val="20"/>
              </w:rPr>
              <w:t>6,655.50</w:t>
            </w:r>
          </w:p>
        </w:tc>
        <w:tc>
          <w:tcPr>
            <w:tcW w:w="1842" w:type="dxa"/>
          </w:tcPr>
          <w:p w14:paraId="5CB06FFA" w14:textId="7D0EFB07" w:rsidR="006425FD" w:rsidRPr="00C54F6C" w:rsidRDefault="006425FD" w:rsidP="006425FD">
            <w:pPr>
              <w:jc w:val="center"/>
              <w:rPr>
                <w:rFonts w:ascii="Verdana" w:hAnsi="Verdana"/>
                <w:sz w:val="18"/>
                <w:szCs w:val="18"/>
              </w:rPr>
            </w:pPr>
            <w:r w:rsidRPr="00C54F6C">
              <w:rPr>
                <w:rFonts w:ascii="Verdana" w:hAnsi="Verdana"/>
                <w:sz w:val="18"/>
                <w:szCs w:val="18"/>
              </w:rPr>
              <w:t>No change from recommendation in 2020/21</w:t>
            </w:r>
          </w:p>
          <w:p w14:paraId="77C4A90D" w14:textId="77777777" w:rsidR="006425FD" w:rsidRPr="00340DA8" w:rsidRDefault="006425FD" w:rsidP="006425FD">
            <w:pPr>
              <w:jc w:val="center"/>
              <w:rPr>
                <w:rFonts w:ascii="Verdana" w:hAnsi="Verdana"/>
                <w:sz w:val="20"/>
                <w:szCs w:val="20"/>
              </w:rPr>
            </w:pPr>
          </w:p>
        </w:tc>
        <w:tc>
          <w:tcPr>
            <w:tcW w:w="1701" w:type="dxa"/>
          </w:tcPr>
          <w:p w14:paraId="4E9652C1" w14:textId="7C97D272" w:rsidR="006425FD" w:rsidRPr="004233B6" w:rsidRDefault="006425FD" w:rsidP="006425FD">
            <w:pPr>
              <w:jc w:val="center"/>
              <w:rPr>
                <w:rFonts w:ascii="Verdana" w:hAnsi="Verdana"/>
                <w:sz w:val="20"/>
                <w:szCs w:val="20"/>
              </w:rPr>
            </w:pPr>
            <w:r w:rsidRPr="004233B6">
              <w:rPr>
                <w:rFonts w:ascii="Verdana" w:hAnsi="Verdana"/>
                <w:sz w:val="20"/>
                <w:szCs w:val="20"/>
              </w:rPr>
              <w:t>6,975</w:t>
            </w:r>
          </w:p>
        </w:tc>
      </w:tr>
      <w:tr w:rsidR="006425FD" w14:paraId="29BBF287" w14:textId="77777777" w:rsidTr="00E32B77">
        <w:tc>
          <w:tcPr>
            <w:tcW w:w="1702" w:type="dxa"/>
          </w:tcPr>
          <w:p w14:paraId="6120512B" w14:textId="56A54A84" w:rsidR="006425FD" w:rsidRPr="00340DA8" w:rsidRDefault="006425FD" w:rsidP="006425FD">
            <w:pPr>
              <w:rPr>
                <w:rFonts w:ascii="Verdana" w:hAnsi="Verdana"/>
                <w:sz w:val="20"/>
                <w:szCs w:val="20"/>
              </w:rPr>
            </w:pPr>
            <w:r w:rsidRPr="00340DA8">
              <w:rPr>
                <w:rFonts w:ascii="Verdana" w:hAnsi="Verdana"/>
                <w:sz w:val="20"/>
                <w:szCs w:val="20"/>
              </w:rPr>
              <w:t>Chair</w:t>
            </w:r>
            <w:r>
              <w:rPr>
                <w:rFonts w:ascii="Verdana" w:hAnsi="Verdana"/>
                <w:sz w:val="20"/>
                <w:szCs w:val="20"/>
              </w:rPr>
              <w:t>man</w:t>
            </w:r>
            <w:r w:rsidRPr="00340DA8">
              <w:rPr>
                <w:rFonts w:ascii="Verdana" w:hAnsi="Verdana"/>
                <w:sz w:val="20"/>
                <w:szCs w:val="20"/>
              </w:rPr>
              <w:t xml:space="preserve"> of Overview and Scrutiny Committee</w:t>
            </w:r>
          </w:p>
          <w:p w14:paraId="2FD6C5E0" w14:textId="77777777" w:rsidR="006425FD" w:rsidRPr="00340DA8" w:rsidRDefault="006425FD" w:rsidP="006425FD">
            <w:pPr>
              <w:rPr>
                <w:rFonts w:ascii="Verdana" w:hAnsi="Verdana"/>
                <w:sz w:val="20"/>
                <w:szCs w:val="20"/>
              </w:rPr>
            </w:pPr>
          </w:p>
        </w:tc>
        <w:tc>
          <w:tcPr>
            <w:tcW w:w="1247" w:type="dxa"/>
          </w:tcPr>
          <w:p w14:paraId="5D71E163" w14:textId="747E0A68" w:rsidR="006425FD" w:rsidRPr="00340DA8" w:rsidRDefault="006425FD" w:rsidP="006425FD">
            <w:pPr>
              <w:jc w:val="center"/>
              <w:rPr>
                <w:rFonts w:ascii="Verdana" w:hAnsi="Verdana"/>
                <w:sz w:val="20"/>
                <w:szCs w:val="20"/>
              </w:rPr>
            </w:pPr>
            <w:r>
              <w:rPr>
                <w:rFonts w:ascii="Verdana" w:hAnsi="Verdana"/>
                <w:sz w:val="20"/>
                <w:szCs w:val="20"/>
              </w:rPr>
              <w:t>1.5</w:t>
            </w:r>
          </w:p>
        </w:tc>
        <w:tc>
          <w:tcPr>
            <w:tcW w:w="1275" w:type="dxa"/>
          </w:tcPr>
          <w:p w14:paraId="74E089F3" w14:textId="13A7CDCE" w:rsidR="006425FD" w:rsidRPr="00340DA8" w:rsidRDefault="006425FD" w:rsidP="006425FD">
            <w:pPr>
              <w:jc w:val="center"/>
              <w:rPr>
                <w:rFonts w:ascii="Verdana" w:hAnsi="Verdana"/>
                <w:sz w:val="20"/>
                <w:szCs w:val="20"/>
              </w:rPr>
            </w:pPr>
            <w:r>
              <w:rPr>
                <w:rFonts w:ascii="Verdana" w:hAnsi="Verdana"/>
                <w:sz w:val="20"/>
                <w:szCs w:val="20"/>
              </w:rPr>
              <w:t>1.5</w:t>
            </w:r>
          </w:p>
        </w:tc>
        <w:tc>
          <w:tcPr>
            <w:tcW w:w="1418" w:type="dxa"/>
          </w:tcPr>
          <w:p w14:paraId="784918AA" w14:textId="33A6F061" w:rsidR="006425FD" w:rsidRPr="00C54F6C" w:rsidRDefault="00E32B77" w:rsidP="006425FD">
            <w:pPr>
              <w:jc w:val="center"/>
              <w:rPr>
                <w:rFonts w:ascii="Verdana" w:hAnsi="Verdana"/>
                <w:sz w:val="18"/>
                <w:szCs w:val="18"/>
              </w:rPr>
            </w:pPr>
            <w:r>
              <w:rPr>
                <w:rFonts w:ascii="Verdana" w:hAnsi="Verdana"/>
                <w:sz w:val="18"/>
                <w:szCs w:val="18"/>
              </w:rPr>
              <w:t>6,789</w:t>
            </w:r>
          </w:p>
        </w:tc>
        <w:tc>
          <w:tcPr>
            <w:tcW w:w="1276" w:type="dxa"/>
          </w:tcPr>
          <w:p w14:paraId="38F13FCC" w14:textId="2FB1D3F9" w:rsidR="006425FD" w:rsidRPr="00C54F6C" w:rsidRDefault="005252E3" w:rsidP="006425FD">
            <w:pPr>
              <w:jc w:val="center"/>
              <w:rPr>
                <w:rFonts w:ascii="Verdana" w:hAnsi="Verdana"/>
                <w:sz w:val="18"/>
                <w:szCs w:val="18"/>
              </w:rPr>
            </w:pPr>
            <w:r>
              <w:rPr>
                <w:rFonts w:ascii="Verdana" w:hAnsi="Verdana"/>
                <w:sz w:val="20"/>
                <w:szCs w:val="20"/>
              </w:rPr>
              <w:t>6,655.50</w:t>
            </w:r>
          </w:p>
        </w:tc>
        <w:tc>
          <w:tcPr>
            <w:tcW w:w="1842" w:type="dxa"/>
          </w:tcPr>
          <w:p w14:paraId="65191A33" w14:textId="0B403300" w:rsidR="006425FD" w:rsidRPr="00C54F6C" w:rsidRDefault="006425FD" w:rsidP="006425FD">
            <w:pPr>
              <w:jc w:val="center"/>
              <w:rPr>
                <w:rFonts w:ascii="Verdana" w:hAnsi="Verdana"/>
                <w:sz w:val="18"/>
                <w:szCs w:val="18"/>
              </w:rPr>
            </w:pPr>
            <w:r w:rsidRPr="00C54F6C">
              <w:rPr>
                <w:rFonts w:ascii="Verdana" w:hAnsi="Verdana"/>
                <w:sz w:val="18"/>
                <w:szCs w:val="18"/>
              </w:rPr>
              <w:t>No change from recommendation in 2020/21</w:t>
            </w:r>
          </w:p>
          <w:p w14:paraId="0F0EF82A" w14:textId="77777777" w:rsidR="006425FD" w:rsidRPr="00340DA8" w:rsidRDefault="006425FD" w:rsidP="006425FD">
            <w:pPr>
              <w:jc w:val="center"/>
              <w:rPr>
                <w:rFonts w:ascii="Verdana" w:hAnsi="Verdana"/>
                <w:sz w:val="20"/>
                <w:szCs w:val="20"/>
              </w:rPr>
            </w:pPr>
          </w:p>
        </w:tc>
        <w:tc>
          <w:tcPr>
            <w:tcW w:w="1701" w:type="dxa"/>
          </w:tcPr>
          <w:p w14:paraId="4C530A5F" w14:textId="72111FDF" w:rsidR="006425FD" w:rsidRPr="004233B6" w:rsidRDefault="006425FD" w:rsidP="006425FD">
            <w:pPr>
              <w:jc w:val="center"/>
              <w:rPr>
                <w:rFonts w:ascii="Verdana" w:hAnsi="Verdana"/>
                <w:sz w:val="20"/>
                <w:szCs w:val="20"/>
              </w:rPr>
            </w:pPr>
            <w:r w:rsidRPr="004233B6">
              <w:rPr>
                <w:rFonts w:ascii="Verdana" w:hAnsi="Verdana"/>
                <w:sz w:val="20"/>
                <w:szCs w:val="20"/>
              </w:rPr>
              <w:t>6,975</w:t>
            </w:r>
          </w:p>
        </w:tc>
      </w:tr>
      <w:tr w:rsidR="006425FD" w14:paraId="717DBE78" w14:textId="77777777" w:rsidTr="00E32B77">
        <w:tc>
          <w:tcPr>
            <w:tcW w:w="1702" w:type="dxa"/>
          </w:tcPr>
          <w:p w14:paraId="2A53DBD1" w14:textId="7F0E047B" w:rsidR="006425FD" w:rsidRPr="00340DA8" w:rsidRDefault="006425FD" w:rsidP="006425FD">
            <w:pPr>
              <w:rPr>
                <w:rFonts w:ascii="Verdana" w:hAnsi="Verdana"/>
                <w:sz w:val="20"/>
                <w:szCs w:val="20"/>
              </w:rPr>
            </w:pPr>
            <w:r w:rsidRPr="00340DA8">
              <w:rPr>
                <w:rFonts w:ascii="Verdana" w:hAnsi="Verdana"/>
                <w:sz w:val="20"/>
                <w:szCs w:val="20"/>
              </w:rPr>
              <w:t>Chair</w:t>
            </w:r>
            <w:r>
              <w:rPr>
                <w:rFonts w:ascii="Verdana" w:hAnsi="Verdana"/>
                <w:sz w:val="20"/>
                <w:szCs w:val="20"/>
              </w:rPr>
              <w:t>man</w:t>
            </w:r>
            <w:r w:rsidRPr="00340DA8">
              <w:rPr>
                <w:rFonts w:ascii="Verdana" w:hAnsi="Verdana"/>
                <w:sz w:val="20"/>
                <w:szCs w:val="20"/>
              </w:rPr>
              <w:t xml:space="preserve"> of Overview and Scrutiny Task</w:t>
            </w:r>
            <w:r>
              <w:rPr>
                <w:rFonts w:ascii="Verdana" w:hAnsi="Verdana"/>
                <w:sz w:val="20"/>
                <w:szCs w:val="20"/>
              </w:rPr>
              <w:t xml:space="preserve"> and Finish</w:t>
            </w:r>
            <w:r w:rsidRPr="00340DA8">
              <w:rPr>
                <w:rFonts w:ascii="Verdana" w:hAnsi="Verdana"/>
                <w:sz w:val="20"/>
                <w:szCs w:val="20"/>
              </w:rPr>
              <w:t xml:space="preserve"> Groups</w:t>
            </w:r>
          </w:p>
          <w:p w14:paraId="6E24B24C" w14:textId="77777777" w:rsidR="006425FD" w:rsidRPr="00340DA8" w:rsidRDefault="006425FD" w:rsidP="006425FD">
            <w:pPr>
              <w:rPr>
                <w:rFonts w:ascii="Verdana" w:hAnsi="Verdana"/>
                <w:sz w:val="20"/>
                <w:szCs w:val="20"/>
              </w:rPr>
            </w:pPr>
          </w:p>
        </w:tc>
        <w:tc>
          <w:tcPr>
            <w:tcW w:w="1247" w:type="dxa"/>
          </w:tcPr>
          <w:p w14:paraId="10D8F17E" w14:textId="36206594" w:rsidR="006425FD" w:rsidRPr="00340DA8" w:rsidRDefault="006425FD" w:rsidP="006425FD">
            <w:pPr>
              <w:jc w:val="center"/>
              <w:rPr>
                <w:rFonts w:ascii="Verdana" w:hAnsi="Verdana"/>
                <w:sz w:val="20"/>
                <w:szCs w:val="20"/>
              </w:rPr>
            </w:pPr>
            <w:r>
              <w:rPr>
                <w:rFonts w:ascii="Verdana" w:hAnsi="Verdana"/>
                <w:sz w:val="20"/>
                <w:szCs w:val="20"/>
              </w:rPr>
              <w:t>0.25</w:t>
            </w:r>
          </w:p>
          <w:p w14:paraId="6DB52731" w14:textId="77777777" w:rsidR="006425FD" w:rsidRPr="00340DA8" w:rsidRDefault="006425FD" w:rsidP="006425FD">
            <w:pPr>
              <w:jc w:val="center"/>
              <w:rPr>
                <w:rFonts w:ascii="Verdana" w:hAnsi="Verdana"/>
                <w:sz w:val="20"/>
                <w:szCs w:val="20"/>
              </w:rPr>
            </w:pPr>
          </w:p>
        </w:tc>
        <w:tc>
          <w:tcPr>
            <w:tcW w:w="1275" w:type="dxa"/>
          </w:tcPr>
          <w:p w14:paraId="59AD7A63" w14:textId="40AAF131" w:rsidR="006425FD" w:rsidRPr="00340DA8" w:rsidRDefault="006425FD" w:rsidP="006425FD">
            <w:pPr>
              <w:jc w:val="center"/>
              <w:rPr>
                <w:rFonts w:ascii="Verdana" w:hAnsi="Verdana"/>
                <w:sz w:val="20"/>
                <w:szCs w:val="20"/>
              </w:rPr>
            </w:pPr>
            <w:r>
              <w:rPr>
                <w:rFonts w:ascii="Verdana" w:hAnsi="Verdana"/>
                <w:sz w:val="20"/>
                <w:szCs w:val="20"/>
              </w:rPr>
              <w:t>0.25</w:t>
            </w:r>
          </w:p>
        </w:tc>
        <w:tc>
          <w:tcPr>
            <w:tcW w:w="1418" w:type="dxa"/>
          </w:tcPr>
          <w:p w14:paraId="7C7D1049" w14:textId="3DDBF8E4" w:rsidR="006425FD" w:rsidRPr="00C54F6C" w:rsidRDefault="00E32B77" w:rsidP="006425FD">
            <w:pPr>
              <w:jc w:val="center"/>
              <w:rPr>
                <w:rFonts w:ascii="Verdana" w:hAnsi="Verdana"/>
                <w:sz w:val="18"/>
                <w:szCs w:val="18"/>
              </w:rPr>
            </w:pPr>
            <w:r>
              <w:rPr>
                <w:rFonts w:ascii="Verdana" w:hAnsi="Verdana"/>
                <w:sz w:val="18"/>
                <w:szCs w:val="18"/>
              </w:rPr>
              <w:t>1,131.50</w:t>
            </w:r>
          </w:p>
        </w:tc>
        <w:tc>
          <w:tcPr>
            <w:tcW w:w="1276" w:type="dxa"/>
          </w:tcPr>
          <w:p w14:paraId="3BF4E6E7" w14:textId="41CD8F8E" w:rsidR="006425FD" w:rsidRPr="00C54F6C" w:rsidRDefault="006425FD" w:rsidP="006425FD">
            <w:pPr>
              <w:jc w:val="center"/>
              <w:rPr>
                <w:rFonts w:ascii="Verdana" w:hAnsi="Verdana"/>
                <w:sz w:val="18"/>
                <w:szCs w:val="18"/>
              </w:rPr>
            </w:pPr>
            <w:r>
              <w:rPr>
                <w:rFonts w:ascii="Verdana" w:hAnsi="Verdana"/>
                <w:sz w:val="20"/>
                <w:szCs w:val="20"/>
              </w:rPr>
              <w:t>1,109.25</w:t>
            </w:r>
          </w:p>
        </w:tc>
        <w:tc>
          <w:tcPr>
            <w:tcW w:w="1842" w:type="dxa"/>
          </w:tcPr>
          <w:p w14:paraId="6F3CFDE8" w14:textId="1A2942D0" w:rsidR="006425FD" w:rsidRPr="00C54F6C" w:rsidRDefault="006425FD" w:rsidP="006425FD">
            <w:pPr>
              <w:jc w:val="center"/>
              <w:rPr>
                <w:rFonts w:ascii="Verdana" w:hAnsi="Verdana"/>
                <w:sz w:val="18"/>
                <w:szCs w:val="18"/>
              </w:rPr>
            </w:pPr>
            <w:r w:rsidRPr="00C54F6C">
              <w:rPr>
                <w:rFonts w:ascii="Verdana" w:hAnsi="Verdana"/>
                <w:sz w:val="18"/>
                <w:szCs w:val="18"/>
              </w:rPr>
              <w:t>No change from recommendation in 2020/21</w:t>
            </w:r>
          </w:p>
          <w:p w14:paraId="11E5943C" w14:textId="77777777" w:rsidR="006425FD" w:rsidRPr="00340DA8" w:rsidRDefault="006425FD" w:rsidP="006425FD">
            <w:pPr>
              <w:jc w:val="center"/>
              <w:rPr>
                <w:rFonts w:ascii="Verdana" w:hAnsi="Verdana"/>
                <w:sz w:val="20"/>
                <w:szCs w:val="20"/>
              </w:rPr>
            </w:pPr>
          </w:p>
        </w:tc>
        <w:tc>
          <w:tcPr>
            <w:tcW w:w="1701" w:type="dxa"/>
          </w:tcPr>
          <w:p w14:paraId="2F748B74" w14:textId="44F7F112" w:rsidR="006425FD" w:rsidRPr="004233B6" w:rsidRDefault="006425FD" w:rsidP="006425FD">
            <w:pPr>
              <w:jc w:val="center"/>
              <w:rPr>
                <w:rFonts w:ascii="Verdana" w:hAnsi="Verdana"/>
                <w:sz w:val="20"/>
                <w:szCs w:val="20"/>
              </w:rPr>
            </w:pPr>
            <w:r w:rsidRPr="004233B6">
              <w:rPr>
                <w:rFonts w:ascii="Verdana" w:hAnsi="Verdana"/>
                <w:sz w:val="20"/>
                <w:szCs w:val="20"/>
              </w:rPr>
              <w:t>1,162.50</w:t>
            </w:r>
          </w:p>
        </w:tc>
      </w:tr>
      <w:tr w:rsidR="006425FD" w14:paraId="7C777BAF" w14:textId="77777777" w:rsidTr="00E32B77">
        <w:tc>
          <w:tcPr>
            <w:tcW w:w="1702" w:type="dxa"/>
          </w:tcPr>
          <w:p w14:paraId="0931E966" w14:textId="4AFBB9E4" w:rsidR="006425FD" w:rsidRPr="00340DA8" w:rsidRDefault="006425FD" w:rsidP="006425FD">
            <w:pPr>
              <w:rPr>
                <w:rFonts w:ascii="Verdana" w:hAnsi="Verdana"/>
                <w:sz w:val="20"/>
                <w:szCs w:val="20"/>
              </w:rPr>
            </w:pPr>
            <w:r w:rsidRPr="00340DA8">
              <w:rPr>
                <w:rFonts w:ascii="Verdana" w:hAnsi="Verdana"/>
                <w:sz w:val="20"/>
                <w:szCs w:val="20"/>
              </w:rPr>
              <w:t>Chair</w:t>
            </w:r>
            <w:r>
              <w:rPr>
                <w:rFonts w:ascii="Verdana" w:hAnsi="Verdana"/>
                <w:sz w:val="20"/>
                <w:szCs w:val="20"/>
              </w:rPr>
              <w:t>man</w:t>
            </w:r>
            <w:r w:rsidRPr="00340DA8">
              <w:rPr>
                <w:rFonts w:ascii="Verdana" w:hAnsi="Verdana"/>
                <w:sz w:val="20"/>
                <w:szCs w:val="20"/>
              </w:rPr>
              <w:t xml:space="preserve"> of Audit </w:t>
            </w:r>
            <w:r>
              <w:rPr>
                <w:rFonts w:ascii="Verdana" w:hAnsi="Verdana"/>
                <w:sz w:val="20"/>
                <w:szCs w:val="20"/>
              </w:rPr>
              <w:t xml:space="preserve">and </w:t>
            </w:r>
            <w:r w:rsidRPr="00340DA8">
              <w:rPr>
                <w:rFonts w:ascii="Verdana" w:hAnsi="Verdana"/>
                <w:sz w:val="20"/>
                <w:szCs w:val="20"/>
              </w:rPr>
              <w:t>Standards</w:t>
            </w:r>
            <w:r>
              <w:rPr>
                <w:rFonts w:ascii="Verdana" w:hAnsi="Verdana"/>
                <w:sz w:val="20"/>
                <w:szCs w:val="20"/>
              </w:rPr>
              <w:t xml:space="preserve"> </w:t>
            </w:r>
            <w:r w:rsidRPr="00340DA8">
              <w:rPr>
                <w:rFonts w:ascii="Verdana" w:hAnsi="Verdana"/>
                <w:sz w:val="20"/>
                <w:szCs w:val="20"/>
              </w:rPr>
              <w:t>Committee</w:t>
            </w:r>
          </w:p>
          <w:p w14:paraId="5AD39910" w14:textId="77777777" w:rsidR="006425FD" w:rsidRPr="00340DA8" w:rsidRDefault="006425FD" w:rsidP="006425FD">
            <w:pPr>
              <w:rPr>
                <w:rFonts w:ascii="Verdana" w:hAnsi="Verdana"/>
                <w:sz w:val="20"/>
                <w:szCs w:val="20"/>
              </w:rPr>
            </w:pPr>
          </w:p>
        </w:tc>
        <w:tc>
          <w:tcPr>
            <w:tcW w:w="1247" w:type="dxa"/>
          </w:tcPr>
          <w:p w14:paraId="02A3DEB2" w14:textId="35B45464" w:rsidR="006425FD" w:rsidRPr="00340DA8" w:rsidRDefault="006425FD" w:rsidP="006425FD">
            <w:pPr>
              <w:jc w:val="center"/>
              <w:rPr>
                <w:rFonts w:ascii="Verdana" w:hAnsi="Verdana"/>
                <w:sz w:val="20"/>
                <w:szCs w:val="20"/>
              </w:rPr>
            </w:pPr>
            <w:r>
              <w:rPr>
                <w:rFonts w:ascii="Verdana" w:hAnsi="Verdana"/>
                <w:sz w:val="20"/>
                <w:szCs w:val="20"/>
              </w:rPr>
              <w:t>0.25</w:t>
            </w:r>
          </w:p>
        </w:tc>
        <w:tc>
          <w:tcPr>
            <w:tcW w:w="1275" w:type="dxa"/>
          </w:tcPr>
          <w:p w14:paraId="63A30B02" w14:textId="567A2361" w:rsidR="006425FD" w:rsidRPr="00340DA8" w:rsidRDefault="006425FD" w:rsidP="006425FD">
            <w:pPr>
              <w:jc w:val="center"/>
              <w:rPr>
                <w:rFonts w:ascii="Verdana" w:hAnsi="Verdana"/>
                <w:sz w:val="20"/>
                <w:szCs w:val="20"/>
              </w:rPr>
            </w:pPr>
            <w:r>
              <w:rPr>
                <w:rFonts w:ascii="Verdana" w:hAnsi="Verdana"/>
                <w:sz w:val="20"/>
                <w:szCs w:val="20"/>
              </w:rPr>
              <w:t>0.25</w:t>
            </w:r>
          </w:p>
        </w:tc>
        <w:tc>
          <w:tcPr>
            <w:tcW w:w="1418" w:type="dxa"/>
          </w:tcPr>
          <w:p w14:paraId="0311EFD1" w14:textId="56377155" w:rsidR="006425FD" w:rsidRPr="00C54F6C" w:rsidRDefault="00E32B77" w:rsidP="006425FD">
            <w:pPr>
              <w:jc w:val="center"/>
              <w:rPr>
                <w:rFonts w:ascii="Verdana" w:hAnsi="Verdana"/>
                <w:sz w:val="18"/>
                <w:szCs w:val="18"/>
              </w:rPr>
            </w:pPr>
            <w:r>
              <w:rPr>
                <w:rFonts w:ascii="Verdana" w:hAnsi="Verdana"/>
                <w:sz w:val="18"/>
                <w:szCs w:val="18"/>
              </w:rPr>
              <w:t>1,131.50</w:t>
            </w:r>
          </w:p>
        </w:tc>
        <w:tc>
          <w:tcPr>
            <w:tcW w:w="1276" w:type="dxa"/>
          </w:tcPr>
          <w:p w14:paraId="7EA7DD7F" w14:textId="060913FB" w:rsidR="006425FD" w:rsidRPr="00C54F6C" w:rsidRDefault="006425FD" w:rsidP="006425FD">
            <w:pPr>
              <w:jc w:val="center"/>
              <w:rPr>
                <w:rFonts w:ascii="Verdana" w:hAnsi="Verdana"/>
                <w:sz w:val="18"/>
                <w:szCs w:val="18"/>
              </w:rPr>
            </w:pPr>
            <w:r>
              <w:rPr>
                <w:rFonts w:ascii="Verdana" w:hAnsi="Verdana"/>
                <w:sz w:val="20"/>
                <w:szCs w:val="20"/>
              </w:rPr>
              <w:t>1,109.25</w:t>
            </w:r>
          </w:p>
        </w:tc>
        <w:tc>
          <w:tcPr>
            <w:tcW w:w="1842" w:type="dxa"/>
          </w:tcPr>
          <w:p w14:paraId="00EA3C5A" w14:textId="3D4AEE61" w:rsidR="006425FD" w:rsidRPr="00C54F6C" w:rsidRDefault="006425FD" w:rsidP="006425FD">
            <w:pPr>
              <w:jc w:val="center"/>
              <w:rPr>
                <w:rFonts w:ascii="Verdana" w:hAnsi="Verdana"/>
                <w:sz w:val="18"/>
                <w:szCs w:val="18"/>
              </w:rPr>
            </w:pPr>
            <w:r w:rsidRPr="00C54F6C">
              <w:rPr>
                <w:rFonts w:ascii="Verdana" w:hAnsi="Verdana"/>
                <w:sz w:val="18"/>
                <w:szCs w:val="18"/>
              </w:rPr>
              <w:t>No change from recommendation in 2020/21</w:t>
            </w:r>
          </w:p>
          <w:p w14:paraId="3519ED09" w14:textId="77777777" w:rsidR="006425FD" w:rsidRPr="00340DA8" w:rsidRDefault="006425FD" w:rsidP="006425FD">
            <w:pPr>
              <w:jc w:val="center"/>
              <w:rPr>
                <w:rFonts w:ascii="Verdana" w:hAnsi="Verdana"/>
                <w:sz w:val="20"/>
                <w:szCs w:val="20"/>
              </w:rPr>
            </w:pPr>
          </w:p>
        </w:tc>
        <w:tc>
          <w:tcPr>
            <w:tcW w:w="1701" w:type="dxa"/>
          </w:tcPr>
          <w:p w14:paraId="3EA74FC8" w14:textId="047A5A20" w:rsidR="006425FD" w:rsidRPr="004233B6" w:rsidRDefault="006425FD" w:rsidP="006425FD">
            <w:pPr>
              <w:jc w:val="center"/>
              <w:rPr>
                <w:rFonts w:ascii="Verdana" w:hAnsi="Verdana"/>
                <w:sz w:val="20"/>
                <w:szCs w:val="20"/>
              </w:rPr>
            </w:pPr>
            <w:r w:rsidRPr="004233B6">
              <w:rPr>
                <w:rFonts w:ascii="Verdana" w:hAnsi="Verdana"/>
                <w:sz w:val="20"/>
                <w:szCs w:val="20"/>
              </w:rPr>
              <w:t>1,162.50</w:t>
            </w:r>
          </w:p>
        </w:tc>
      </w:tr>
      <w:tr w:rsidR="006425FD" w14:paraId="709473D7" w14:textId="77777777" w:rsidTr="00E32B77">
        <w:tc>
          <w:tcPr>
            <w:tcW w:w="1702" w:type="dxa"/>
          </w:tcPr>
          <w:p w14:paraId="0ED0E03D" w14:textId="0646B85C" w:rsidR="006425FD" w:rsidRPr="00340DA8" w:rsidRDefault="006425FD" w:rsidP="006425FD">
            <w:pPr>
              <w:rPr>
                <w:rFonts w:ascii="Verdana" w:hAnsi="Verdana"/>
                <w:sz w:val="20"/>
                <w:szCs w:val="20"/>
              </w:rPr>
            </w:pPr>
            <w:r>
              <w:rPr>
                <w:rFonts w:ascii="Verdana" w:hAnsi="Verdana"/>
                <w:sz w:val="20"/>
                <w:szCs w:val="20"/>
              </w:rPr>
              <w:t>Chairman of 2 x Area Planning Committees</w:t>
            </w:r>
          </w:p>
          <w:p w14:paraId="7E373AC8" w14:textId="77777777" w:rsidR="006425FD" w:rsidRPr="00340DA8" w:rsidRDefault="006425FD" w:rsidP="006425FD">
            <w:pPr>
              <w:rPr>
                <w:rFonts w:ascii="Verdana" w:hAnsi="Verdana"/>
                <w:sz w:val="20"/>
                <w:szCs w:val="20"/>
              </w:rPr>
            </w:pPr>
          </w:p>
        </w:tc>
        <w:tc>
          <w:tcPr>
            <w:tcW w:w="1247" w:type="dxa"/>
          </w:tcPr>
          <w:p w14:paraId="27D6F475" w14:textId="308A0BB5" w:rsidR="006425FD" w:rsidRPr="00340DA8" w:rsidRDefault="006425FD" w:rsidP="006425FD">
            <w:pPr>
              <w:jc w:val="center"/>
              <w:rPr>
                <w:rFonts w:ascii="Verdana" w:hAnsi="Verdana"/>
                <w:sz w:val="20"/>
                <w:szCs w:val="20"/>
              </w:rPr>
            </w:pPr>
            <w:r>
              <w:rPr>
                <w:rFonts w:ascii="Verdana" w:hAnsi="Verdana"/>
                <w:sz w:val="20"/>
                <w:szCs w:val="20"/>
              </w:rPr>
              <w:t>0.5</w:t>
            </w:r>
          </w:p>
        </w:tc>
        <w:tc>
          <w:tcPr>
            <w:tcW w:w="1275" w:type="dxa"/>
          </w:tcPr>
          <w:p w14:paraId="7C6CF242" w14:textId="51C254CC" w:rsidR="006425FD" w:rsidRPr="00340DA8" w:rsidRDefault="006425FD" w:rsidP="006425FD">
            <w:pPr>
              <w:jc w:val="center"/>
              <w:rPr>
                <w:rFonts w:ascii="Verdana" w:hAnsi="Verdana"/>
                <w:sz w:val="20"/>
                <w:szCs w:val="20"/>
              </w:rPr>
            </w:pPr>
            <w:r>
              <w:rPr>
                <w:rFonts w:ascii="Verdana" w:hAnsi="Verdana"/>
                <w:sz w:val="20"/>
                <w:szCs w:val="20"/>
              </w:rPr>
              <w:t>0.5</w:t>
            </w:r>
          </w:p>
        </w:tc>
        <w:tc>
          <w:tcPr>
            <w:tcW w:w="1418" w:type="dxa"/>
          </w:tcPr>
          <w:p w14:paraId="7C3FC37E" w14:textId="11445DA4" w:rsidR="006425FD" w:rsidRPr="00C54F6C" w:rsidRDefault="00E32B77" w:rsidP="006425FD">
            <w:pPr>
              <w:jc w:val="center"/>
              <w:rPr>
                <w:rFonts w:ascii="Verdana" w:hAnsi="Verdana"/>
                <w:sz w:val="18"/>
                <w:szCs w:val="18"/>
              </w:rPr>
            </w:pPr>
            <w:r>
              <w:rPr>
                <w:rFonts w:ascii="Verdana" w:hAnsi="Verdana"/>
                <w:sz w:val="18"/>
                <w:szCs w:val="18"/>
              </w:rPr>
              <w:t>2,263</w:t>
            </w:r>
          </w:p>
        </w:tc>
        <w:tc>
          <w:tcPr>
            <w:tcW w:w="1276" w:type="dxa"/>
          </w:tcPr>
          <w:p w14:paraId="77082933" w14:textId="25502C0C" w:rsidR="006425FD" w:rsidRPr="00C54F6C" w:rsidRDefault="006425FD" w:rsidP="006425FD">
            <w:pPr>
              <w:jc w:val="center"/>
              <w:rPr>
                <w:rFonts w:ascii="Verdana" w:hAnsi="Verdana"/>
                <w:sz w:val="18"/>
                <w:szCs w:val="18"/>
              </w:rPr>
            </w:pPr>
            <w:r>
              <w:rPr>
                <w:rFonts w:ascii="Verdana" w:hAnsi="Verdana"/>
                <w:sz w:val="20"/>
                <w:szCs w:val="20"/>
              </w:rPr>
              <w:t>2,218.50</w:t>
            </w:r>
          </w:p>
        </w:tc>
        <w:tc>
          <w:tcPr>
            <w:tcW w:w="1842" w:type="dxa"/>
          </w:tcPr>
          <w:p w14:paraId="7A96D24C" w14:textId="08E93E50" w:rsidR="006425FD" w:rsidRPr="00C54F6C" w:rsidRDefault="006425FD" w:rsidP="006425FD">
            <w:pPr>
              <w:jc w:val="center"/>
              <w:rPr>
                <w:rFonts w:ascii="Verdana" w:hAnsi="Verdana"/>
                <w:sz w:val="18"/>
                <w:szCs w:val="18"/>
              </w:rPr>
            </w:pPr>
            <w:r w:rsidRPr="00C54F6C">
              <w:rPr>
                <w:rFonts w:ascii="Verdana" w:hAnsi="Verdana"/>
                <w:sz w:val="18"/>
                <w:szCs w:val="18"/>
              </w:rPr>
              <w:t>No change from recommendation in 2020/21</w:t>
            </w:r>
          </w:p>
          <w:p w14:paraId="070EA56C" w14:textId="77777777" w:rsidR="006425FD" w:rsidRPr="00340DA8" w:rsidRDefault="006425FD" w:rsidP="006425FD">
            <w:pPr>
              <w:jc w:val="center"/>
              <w:rPr>
                <w:rFonts w:ascii="Verdana" w:hAnsi="Verdana"/>
                <w:sz w:val="20"/>
                <w:szCs w:val="20"/>
              </w:rPr>
            </w:pPr>
          </w:p>
        </w:tc>
        <w:tc>
          <w:tcPr>
            <w:tcW w:w="1701" w:type="dxa"/>
          </w:tcPr>
          <w:p w14:paraId="57ECE4CB" w14:textId="1AC7EB60" w:rsidR="006425FD" w:rsidRPr="004233B6" w:rsidRDefault="006425FD" w:rsidP="006425FD">
            <w:pPr>
              <w:jc w:val="center"/>
              <w:rPr>
                <w:rFonts w:ascii="Verdana" w:hAnsi="Verdana"/>
                <w:sz w:val="20"/>
                <w:szCs w:val="20"/>
              </w:rPr>
            </w:pPr>
            <w:r w:rsidRPr="004233B6">
              <w:rPr>
                <w:rFonts w:ascii="Verdana" w:hAnsi="Verdana"/>
                <w:sz w:val="20"/>
                <w:szCs w:val="20"/>
              </w:rPr>
              <w:t>2,325</w:t>
            </w:r>
          </w:p>
        </w:tc>
      </w:tr>
      <w:tr w:rsidR="006425FD" w14:paraId="7B964D04" w14:textId="77777777" w:rsidTr="00E32B77">
        <w:tc>
          <w:tcPr>
            <w:tcW w:w="1702" w:type="dxa"/>
          </w:tcPr>
          <w:p w14:paraId="0A2CFC64" w14:textId="77777777" w:rsidR="006425FD" w:rsidRPr="00340DA8" w:rsidRDefault="006425FD" w:rsidP="006425FD">
            <w:pPr>
              <w:rPr>
                <w:rFonts w:ascii="Verdana" w:hAnsi="Verdana"/>
                <w:sz w:val="20"/>
                <w:szCs w:val="20"/>
              </w:rPr>
            </w:pPr>
            <w:r w:rsidRPr="00340DA8">
              <w:rPr>
                <w:rFonts w:ascii="Verdana" w:hAnsi="Verdana"/>
                <w:sz w:val="20"/>
                <w:szCs w:val="20"/>
              </w:rPr>
              <w:t>Chairman of Licensing Committee</w:t>
            </w:r>
          </w:p>
          <w:p w14:paraId="7ADB3069" w14:textId="77777777" w:rsidR="006425FD" w:rsidRPr="00340DA8" w:rsidRDefault="006425FD" w:rsidP="006425FD">
            <w:pPr>
              <w:rPr>
                <w:rFonts w:ascii="Verdana" w:hAnsi="Verdana"/>
                <w:sz w:val="20"/>
                <w:szCs w:val="20"/>
              </w:rPr>
            </w:pPr>
          </w:p>
        </w:tc>
        <w:tc>
          <w:tcPr>
            <w:tcW w:w="1247" w:type="dxa"/>
          </w:tcPr>
          <w:p w14:paraId="45DD332A" w14:textId="64961F81" w:rsidR="006425FD" w:rsidRPr="00340DA8" w:rsidRDefault="006425FD" w:rsidP="006425FD">
            <w:pPr>
              <w:jc w:val="center"/>
              <w:rPr>
                <w:rFonts w:ascii="Verdana" w:hAnsi="Verdana"/>
                <w:sz w:val="20"/>
                <w:szCs w:val="20"/>
              </w:rPr>
            </w:pPr>
            <w:r>
              <w:rPr>
                <w:rFonts w:ascii="Verdana" w:hAnsi="Verdana"/>
                <w:sz w:val="20"/>
                <w:szCs w:val="20"/>
              </w:rPr>
              <w:t>0.3</w:t>
            </w:r>
          </w:p>
        </w:tc>
        <w:tc>
          <w:tcPr>
            <w:tcW w:w="1275" w:type="dxa"/>
          </w:tcPr>
          <w:p w14:paraId="5200B862" w14:textId="0A460778" w:rsidR="006425FD" w:rsidRPr="00340DA8" w:rsidRDefault="006425FD" w:rsidP="006425FD">
            <w:pPr>
              <w:jc w:val="center"/>
              <w:rPr>
                <w:rFonts w:ascii="Verdana" w:hAnsi="Verdana"/>
                <w:sz w:val="20"/>
                <w:szCs w:val="20"/>
              </w:rPr>
            </w:pPr>
            <w:r>
              <w:rPr>
                <w:rFonts w:ascii="Verdana" w:hAnsi="Verdana"/>
                <w:sz w:val="20"/>
                <w:szCs w:val="20"/>
              </w:rPr>
              <w:t>0.3</w:t>
            </w:r>
          </w:p>
        </w:tc>
        <w:tc>
          <w:tcPr>
            <w:tcW w:w="1418" w:type="dxa"/>
          </w:tcPr>
          <w:p w14:paraId="4D2EB7D8" w14:textId="2E77443E" w:rsidR="006425FD" w:rsidRPr="00C54F6C" w:rsidRDefault="00E32B77" w:rsidP="006425FD">
            <w:pPr>
              <w:jc w:val="center"/>
              <w:rPr>
                <w:rFonts w:ascii="Verdana" w:hAnsi="Verdana"/>
                <w:sz w:val="18"/>
                <w:szCs w:val="18"/>
              </w:rPr>
            </w:pPr>
            <w:r>
              <w:rPr>
                <w:rFonts w:ascii="Verdana" w:hAnsi="Verdana"/>
                <w:sz w:val="18"/>
                <w:szCs w:val="18"/>
              </w:rPr>
              <w:t>1,357.80</w:t>
            </w:r>
          </w:p>
        </w:tc>
        <w:tc>
          <w:tcPr>
            <w:tcW w:w="1276" w:type="dxa"/>
          </w:tcPr>
          <w:p w14:paraId="118BA0B1" w14:textId="0FB6941D" w:rsidR="006425FD" w:rsidRPr="00C54F6C" w:rsidRDefault="006425FD" w:rsidP="006425FD">
            <w:pPr>
              <w:jc w:val="center"/>
              <w:rPr>
                <w:rFonts w:ascii="Verdana" w:hAnsi="Verdana"/>
                <w:sz w:val="18"/>
                <w:szCs w:val="18"/>
              </w:rPr>
            </w:pPr>
            <w:r>
              <w:rPr>
                <w:rFonts w:ascii="Verdana" w:hAnsi="Verdana"/>
                <w:sz w:val="20"/>
                <w:szCs w:val="20"/>
              </w:rPr>
              <w:t>1,331.10</w:t>
            </w:r>
          </w:p>
        </w:tc>
        <w:tc>
          <w:tcPr>
            <w:tcW w:w="1842" w:type="dxa"/>
          </w:tcPr>
          <w:p w14:paraId="00AE778C" w14:textId="0F2174D4" w:rsidR="006425FD" w:rsidRPr="00C54F6C" w:rsidRDefault="006425FD" w:rsidP="006425FD">
            <w:pPr>
              <w:jc w:val="center"/>
              <w:rPr>
                <w:rFonts w:ascii="Verdana" w:hAnsi="Verdana"/>
                <w:sz w:val="18"/>
                <w:szCs w:val="18"/>
              </w:rPr>
            </w:pPr>
            <w:r w:rsidRPr="00C54F6C">
              <w:rPr>
                <w:rFonts w:ascii="Verdana" w:hAnsi="Verdana"/>
                <w:sz w:val="18"/>
                <w:szCs w:val="18"/>
              </w:rPr>
              <w:t>No change from recommendation in 2020/21</w:t>
            </w:r>
          </w:p>
          <w:p w14:paraId="402CF792" w14:textId="77777777" w:rsidR="006425FD" w:rsidRPr="00340DA8" w:rsidRDefault="006425FD" w:rsidP="006425FD">
            <w:pPr>
              <w:jc w:val="center"/>
              <w:rPr>
                <w:rFonts w:ascii="Verdana" w:hAnsi="Verdana"/>
                <w:sz w:val="20"/>
                <w:szCs w:val="20"/>
              </w:rPr>
            </w:pPr>
          </w:p>
        </w:tc>
        <w:tc>
          <w:tcPr>
            <w:tcW w:w="1701" w:type="dxa"/>
          </w:tcPr>
          <w:p w14:paraId="18228159" w14:textId="4ABF064F" w:rsidR="006425FD" w:rsidRPr="004233B6" w:rsidRDefault="006425FD" w:rsidP="006425FD">
            <w:pPr>
              <w:jc w:val="center"/>
              <w:rPr>
                <w:rFonts w:ascii="Verdana" w:hAnsi="Verdana"/>
                <w:sz w:val="20"/>
                <w:szCs w:val="20"/>
              </w:rPr>
            </w:pPr>
            <w:r w:rsidRPr="004233B6">
              <w:rPr>
                <w:rFonts w:ascii="Verdana" w:hAnsi="Verdana"/>
                <w:sz w:val="20"/>
                <w:szCs w:val="20"/>
              </w:rPr>
              <w:t>1,395</w:t>
            </w:r>
          </w:p>
        </w:tc>
      </w:tr>
      <w:tr w:rsidR="006425FD" w14:paraId="414411CD" w14:textId="77777777" w:rsidTr="00E32B77">
        <w:tc>
          <w:tcPr>
            <w:tcW w:w="1702" w:type="dxa"/>
          </w:tcPr>
          <w:p w14:paraId="14416AB3" w14:textId="25342084" w:rsidR="006425FD" w:rsidRDefault="006425FD" w:rsidP="006425FD">
            <w:pPr>
              <w:rPr>
                <w:rFonts w:ascii="Verdana" w:hAnsi="Verdana"/>
                <w:sz w:val="20"/>
                <w:szCs w:val="20"/>
              </w:rPr>
            </w:pPr>
            <w:r>
              <w:rPr>
                <w:rFonts w:ascii="Verdana" w:hAnsi="Verdana"/>
                <w:sz w:val="20"/>
                <w:szCs w:val="20"/>
              </w:rPr>
              <w:lastRenderedPageBreak/>
              <w:t>Chairman of Policy Development Panels</w:t>
            </w:r>
          </w:p>
          <w:p w14:paraId="6EE9B738" w14:textId="0204FBED" w:rsidR="006425FD" w:rsidRPr="00340DA8" w:rsidRDefault="006425FD" w:rsidP="006425FD">
            <w:pPr>
              <w:rPr>
                <w:rFonts w:ascii="Verdana" w:hAnsi="Verdana"/>
                <w:sz w:val="20"/>
                <w:szCs w:val="20"/>
              </w:rPr>
            </w:pPr>
          </w:p>
        </w:tc>
        <w:tc>
          <w:tcPr>
            <w:tcW w:w="1247" w:type="dxa"/>
          </w:tcPr>
          <w:p w14:paraId="1726C879" w14:textId="38E6BAEA" w:rsidR="006425FD" w:rsidRPr="00340DA8" w:rsidRDefault="006425FD" w:rsidP="006425FD">
            <w:pPr>
              <w:jc w:val="center"/>
              <w:rPr>
                <w:rFonts w:ascii="Verdana" w:hAnsi="Verdana"/>
                <w:sz w:val="20"/>
                <w:szCs w:val="20"/>
              </w:rPr>
            </w:pPr>
            <w:r>
              <w:rPr>
                <w:rFonts w:ascii="Verdana" w:hAnsi="Verdana"/>
                <w:sz w:val="20"/>
                <w:szCs w:val="20"/>
              </w:rPr>
              <w:t>0.25</w:t>
            </w:r>
          </w:p>
        </w:tc>
        <w:tc>
          <w:tcPr>
            <w:tcW w:w="1275" w:type="dxa"/>
          </w:tcPr>
          <w:p w14:paraId="45E57770" w14:textId="069D6553" w:rsidR="006425FD" w:rsidRPr="00340DA8" w:rsidRDefault="006425FD" w:rsidP="006425FD">
            <w:pPr>
              <w:jc w:val="center"/>
              <w:rPr>
                <w:rFonts w:ascii="Verdana" w:hAnsi="Verdana"/>
                <w:sz w:val="20"/>
                <w:szCs w:val="20"/>
              </w:rPr>
            </w:pPr>
            <w:r>
              <w:rPr>
                <w:rFonts w:ascii="Verdana" w:hAnsi="Verdana"/>
                <w:sz w:val="20"/>
                <w:szCs w:val="20"/>
              </w:rPr>
              <w:t>0</w:t>
            </w:r>
          </w:p>
        </w:tc>
        <w:tc>
          <w:tcPr>
            <w:tcW w:w="1418" w:type="dxa"/>
          </w:tcPr>
          <w:p w14:paraId="1DF5424A" w14:textId="77777777" w:rsidR="006425FD" w:rsidRDefault="00E32B77" w:rsidP="006425FD">
            <w:pPr>
              <w:jc w:val="center"/>
              <w:rPr>
                <w:rFonts w:ascii="Verdana" w:hAnsi="Verdana"/>
                <w:sz w:val="18"/>
                <w:szCs w:val="18"/>
              </w:rPr>
            </w:pPr>
            <w:r>
              <w:rPr>
                <w:rFonts w:ascii="Verdana" w:hAnsi="Verdana"/>
                <w:sz w:val="18"/>
                <w:szCs w:val="18"/>
              </w:rPr>
              <w:t>1,131.50</w:t>
            </w:r>
          </w:p>
          <w:p w14:paraId="53872DE0" w14:textId="1D84EE38" w:rsidR="00E32B77" w:rsidRPr="00C54F6C" w:rsidRDefault="00E32B77" w:rsidP="006425FD">
            <w:pPr>
              <w:jc w:val="center"/>
              <w:rPr>
                <w:rFonts w:ascii="Verdana" w:hAnsi="Verdana"/>
                <w:sz w:val="18"/>
                <w:szCs w:val="18"/>
              </w:rPr>
            </w:pPr>
            <w:r w:rsidRPr="00E32B77">
              <w:rPr>
                <w:rFonts w:ascii="Verdana" w:hAnsi="Verdana" w:cs="Arial"/>
                <w:bCs/>
                <w:sz w:val="18"/>
                <w:szCs w:val="18"/>
              </w:rPr>
              <w:t>(4 year Term of Office or on completion of work, whichever sooner)</w:t>
            </w:r>
          </w:p>
        </w:tc>
        <w:tc>
          <w:tcPr>
            <w:tcW w:w="1276" w:type="dxa"/>
          </w:tcPr>
          <w:p w14:paraId="06649BAF" w14:textId="6A5CE883" w:rsidR="006425FD" w:rsidRPr="00C54F6C" w:rsidRDefault="006425FD" w:rsidP="006425FD">
            <w:pPr>
              <w:jc w:val="center"/>
              <w:rPr>
                <w:rFonts w:ascii="Verdana" w:hAnsi="Verdana"/>
                <w:sz w:val="18"/>
                <w:szCs w:val="18"/>
              </w:rPr>
            </w:pPr>
            <w:r>
              <w:rPr>
                <w:rFonts w:ascii="Verdana" w:hAnsi="Verdana"/>
                <w:sz w:val="20"/>
                <w:szCs w:val="20"/>
              </w:rPr>
              <w:t>0</w:t>
            </w:r>
          </w:p>
        </w:tc>
        <w:tc>
          <w:tcPr>
            <w:tcW w:w="1842" w:type="dxa"/>
          </w:tcPr>
          <w:p w14:paraId="1DB67449" w14:textId="34A05834" w:rsidR="006425FD" w:rsidRPr="00C54F6C" w:rsidRDefault="006425FD" w:rsidP="006425FD">
            <w:pPr>
              <w:jc w:val="center"/>
              <w:rPr>
                <w:rFonts w:ascii="Verdana" w:hAnsi="Verdana"/>
                <w:sz w:val="18"/>
                <w:szCs w:val="18"/>
              </w:rPr>
            </w:pPr>
            <w:r w:rsidRPr="00C54F6C">
              <w:rPr>
                <w:rFonts w:ascii="Verdana" w:hAnsi="Verdana"/>
                <w:sz w:val="18"/>
                <w:szCs w:val="18"/>
              </w:rPr>
              <w:t>No change from recommendation in 2020/21</w:t>
            </w:r>
          </w:p>
          <w:p w14:paraId="0F23E758" w14:textId="77777777" w:rsidR="006425FD" w:rsidRPr="00C54F6C" w:rsidRDefault="006425FD" w:rsidP="006425FD">
            <w:pPr>
              <w:jc w:val="center"/>
              <w:rPr>
                <w:rFonts w:ascii="Verdana" w:hAnsi="Verdana"/>
                <w:sz w:val="18"/>
                <w:szCs w:val="18"/>
              </w:rPr>
            </w:pPr>
          </w:p>
        </w:tc>
        <w:tc>
          <w:tcPr>
            <w:tcW w:w="1701" w:type="dxa"/>
          </w:tcPr>
          <w:p w14:paraId="04BDA057" w14:textId="20F9B6D7" w:rsidR="006425FD" w:rsidRPr="004233B6" w:rsidRDefault="006425FD" w:rsidP="006425FD">
            <w:pPr>
              <w:jc w:val="center"/>
              <w:rPr>
                <w:rFonts w:ascii="Verdana" w:hAnsi="Verdana" w:cs="Arial"/>
                <w:bCs/>
                <w:sz w:val="20"/>
                <w:szCs w:val="20"/>
              </w:rPr>
            </w:pPr>
            <w:r w:rsidRPr="004233B6">
              <w:rPr>
                <w:rFonts w:ascii="Verdana" w:hAnsi="Verdana" w:cs="Arial"/>
                <w:bCs/>
                <w:sz w:val="20"/>
                <w:szCs w:val="20"/>
              </w:rPr>
              <w:t>1,162.50</w:t>
            </w:r>
          </w:p>
          <w:p w14:paraId="6F6EE4C5" w14:textId="08C4E624" w:rsidR="006425FD" w:rsidRPr="004233B6" w:rsidRDefault="006425FD" w:rsidP="006425FD">
            <w:pPr>
              <w:jc w:val="center"/>
              <w:rPr>
                <w:rFonts w:ascii="Verdana" w:hAnsi="Verdana"/>
                <w:sz w:val="20"/>
                <w:szCs w:val="20"/>
              </w:rPr>
            </w:pPr>
            <w:r w:rsidRPr="004233B6">
              <w:rPr>
                <w:rFonts w:ascii="Verdana" w:hAnsi="Verdana" w:cs="Arial"/>
                <w:bCs/>
                <w:sz w:val="20"/>
                <w:szCs w:val="20"/>
              </w:rPr>
              <w:t>(4 year Term of Office or on completion of work, whichever sooner)</w:t>
            </w:r>
          </w:p>
        </w:tc>
      </w:tr>
      <w:tr w:rsidR="006425FD" w14:paraId="5872F571" w14:textId="77777777" w:rsidTr="00E32B77">
        <w:tc>
          <w:tcPr>
            <w:tcW w:w="1702" w:type="dxa"/>
          </w:tcPr>
          <w:p w14:paraId="5015895D" w14:textId="77777777" w:rsidR="006425FD" w:rsidRPr="00340DA8" w:rsidRDefault="006425FD" w:rsidP="006425FD">
            <w:pPr>
              <w:rPr>
                <w:rFonts w:ascii="Verdana" w:hAnsi="Verdana"/>
                <w:sz w:val="20"/>
                <w:szCs w:val="20"/>
              </w:rPr>
            </w:pPr>
            <w:r w:rsidRPr="00340DA8">
              <w:rPr>
                <w:rFonts w:ascii="Verdana" w:hAnsi="Verdana"/>
                <w:sz w:val="20"/>
                <w:szCs w:val="20"/>
              </w:rPr>
              <w:t>Political Group Leaders</w:t>
            </w:r>
          </w:p>
          <w:p w14:paraId="654398D0" w14:textId="77777777" w:rsidR="006425FD" w:rsidRPr="00340DA8" w:rsidRDefault="006425FD" w:rsidP="006425FD">
            <w:pPr>
              <w:rPr>
                <w:rFonts w:ascii="Verdana" w:hAnsi="Verdana"/>
                <w:sz w:val="20"/>
                <w:szCs w:val="20"/>
              </w:rPr>
            </w:pPr>
          </w:p>
        </w:tc>
        <w:tc>
          <w:tcPr>
            <w:tcW w:w="1247" w:type="dxa"/>
          </w:tcPr>
          <w:p w14:paraId="6D4A5035" w14:textId="227A6125" w:rsidR="006425FD" w:rsidRPr="00340DA8" w:rsidRDefault="006425FD" w:rsidP="006425FD">
            <w:pPr>
              <w:jc w:val="center"/>
              <w:rPr>
                <w:rFonts w:ascii="Verdana" w:hAnsi="Verdana"/>
                <w:sz w:val="20"/>
                <w:szCs w:val="20"/>
              </w:rPr>
            </w:pPr>
            <w:r>
              <w:rPr>
                <w:rFonts w:ascii="Verdana" w:hAnsi="Verdana"/>
                <w:sz w:val="20"/>
                <w:szCs w:val="20"/>
              </w:rPr>
              <w:t>0.25</w:t>
            </w:r>
          </w:p>
        </w:tc>
        <w:tc>
          <w:tcPr>
            <w:tcW w:w="1275" w:type="dxa"/>
          </w:tcPr>
          <w:p w14:paraId="56F3E9A1" w14:textId="522E331E" w:rsidR="006425FD" w:rsidRPr="00340DA8" w:rsidRDefault="006425FD" w:rsidP="006425FD">
            <w:pPr>
              <w:jc w:val="center"/>
              <w:rPr>
                <w:rFonts w:ascii="Verdana" w:hAnsi="Verdana"/>
                <w:sz w:val="20"/>
                <w:szCs w:val="20"/>
              </w:rPr>
            </w:pPr>
            <w:r>
              <w:rPr>
                <w:rFonts w:ascii="Verdana" w:hAnsi="Verdana"/>
                <w:sz w:val="20"/>
                <w:szCs w:val="20"/>
              </w:rPr>
              <w:t>0.25</w:t>
            </w:r>
          </w:p>
        </w:tc>
        <w:tc>
          <w:tcPr>
            <w:tcW w:w="1418" w:type="dxa"/>
          </w:tcPr>
          <w:p w14:paraId="542398A9" w14:textId="1DAC486B" w:rsidR="006425FD" w:rsidRPr="00C54F6C" w:rsidRDefault="00E32B77" w:rsidP="006425FD">
            <w:pPr>
              <w:jc w:val="center"/>
              <w:rPr>
                <w:rFonts w:ascii="Verdana" w:hAnsi="Verdana"/>
                <w:sz w:val="18"/>
                <w:szCs w:val="18"/>
              </w:rPr>
            </w:pPr>
            <w:r>
              <w:rPr>
                <w:rFonts w:ascii="Verdana" w:hAnsi="Verdana"/>
                <w:sz w:val="18"/>
                <w:szCs w:val="18"/>
              </w:rPr>
              <w:t>1,131.50</w:t>
            </w:r>
          </w:p>
        </w:tc>
        <w:tc>
          <w:tcPr>
            <w:tcW w:w="1276" w:type="dxa"/>
          </w:tcPr>
          <w:p w14:paraId="3134E03B" w14:textId="0950CA7A" w:rsidR="006425FD" w:rsidRPr="00C54F6C" w:rsidRDefault="006425FD" w:rsidP="006425FD">
            <w:pPr>
              <w:jc w:val="center"/>
              <w:rPr>
                <w:rFonts w:ascii="Verdana" w:hAnsi="Verdana"/>
                <w:sz w:val="18"/>
                <w:szCs w:val="18"/>
              </w:rPr>
            </w:pPr>
            <w:r>
              <w:rPr>
                <w:rFonts w:ascii="Verdana" w:hAnsi="Verdana"/>
                <w:sz w:val="20"/>
                <w:szCs w:val="20"/>
              </w:rPr>
              <w:t>1,109.25</w:t>
            </w:r>
          </w:p>
        </w:tc>
        <w:tc>
          <w:tcPr>
            <w:tcW w:w="1842" w:type="dxa"/>
          </w:tcPr>
          <w:p w14:paraId="6656A060" w14:textId="5CB5456A" w:rsidR="006425FD" w:rsidRPr="00C54F6C" w:rsidRDefault="006425FD" w:rsidP="006425FD">
            <w:pPr>
              <w:jc w:val="center"/>
              <w:rPr>
                <w:rFonts w:ascii="Verdana" w:hAnsi="Verdana"/>
                <w:sz w:val="18"/>
                <w:szCs w:val="18"/>
              </w:rPr>
            </w:pPr>
            <w:r w:rsidRPr="00C54F6C">
              <w:rPr>
                <w:rFonts w:ascii="Verdana" w:hAnsi="Verdana"/>
                <w:sz w:val="18"/>
                <w:szCs w:val="18"/>
              </w:rPr>
              <w:t>No change from recommendation in 2020/21</w:t>
            </w:r>
          </w:p>
          <w:p w14:paraId="24536961" w14:textId="77777777" w:rsidR="006425FD" w:rsidRPr="00340DA8" w:rsidRDefault="006425FD" w:rsidP="006425FD">
            <w:pPr>
              <w:jc w:val="center"/>
              <w:rPr>
                <w:rFonts w:ascii="Verdana" w:hAnsi="Verdana"/>
                <w:sz w:val="20"/>
                <w:szCs w:val="20"/>
              </w:rPr>
            </w:pPr>
          </w:p>
        </w:tc>
        <w:tc>
          <w:tcPr>
            <w:tcW w:w="1701" w:type="dxa"/>
          </w:tcPr>
          <w:p w14:paraId="2EFE744C" w14:textId="3CD149A1" w:rsidR="006425FD" w:rsidRPr="004233B6" w:rsidRDefault="006425FD" w:rsidP="006425FD">
            <w:pPr>
              <w:jc w:val="center"/>
              <w:rPr>
                <w:rFonts w:ascii="Verdana" w:hAnsi="Verdana"/>
                <w:sz w:val="20"/>
                <w:szCs w:val="20"/>
              </w:rPr>
            </w:pPr>
            <w:r w:rsidRPr="004233B6">
              <w:rPr>
                <w:rFonts w:ascii="Verdana" w:hAnsi="Verdana"/>
                <w:sz w:val="20"/>
                <w:szCs w:val="20"/>
              </w:rPr>
              <w:t>1,162.50</w:t>
            </w:r>
          </w:p>
        </w:tc>
      </w:tr>
      <w:bookmarkEnd w:id="3"/>
    </w:tbl>
    <w:p w14:paraId="4D3ECE89" w14:textId="77777777" w:rsidR="00340DA8" w:rsidRDefault="00340DA8" w:rsidP="0007325E">
      <w:pPr>
        <w:jc w:val="right"/>
        <w:rPr>
          <w:rFonts w:ascii="Verdana" w:hAnsi="Verdana" w:cs="Arial"/>
          <w:b/>
          <w:bCs/>
          <w:sz w:val="22"/>
          <w:szCs w:val="22"/>
        </w:rPr>
      </w:pPr>
    </w:p>
    <w:p w14:paraId="7D86397A" w14:textId="77777777" w:rsidR="00340DA8" w:rsidRDefault="00340DA8" w:rsidP="0007325E">
      <w:pPr>
        <w:jc w:val="right"/>
        <w:rPr>
          <w:rFonts w:ascii="Verdana" w:hAnsi="Verdana" w:cs="Arial"/>
          <w:b/>
          <w:bCs/>
          <w:sz w:val="22"/>
          <w:szCs w:val="22"/>
        </w:rPr>
      </w:pPr>
    </w:p>
    <w:p w14:paraId="21580A1D" w14:textId="77777777" w:rsidR="00340DA8" w:rsidRDefault="00340DA8" w:rsidP="0007325E">
      <w:pPr>
        <w:jc w:val="right"/>
        <w:rPr>
          <w:rFonts w:ascii="Verdana" w:hAnsi="Verdana" w:cs="Arial"/>
          <w:b/>
          <w:bCs/>
          <w:sz w:val="22"/>
          <w:szCs w:val="22"/>
        </w:rPr>
      </w:pPr>
    </w:p>
    <w:p w14:paraId="4988B9B3" w14:textId="77777777" w:rsidR="00340DA8" w:rsidRDefault="00340DA8" w:rsidP="0007325E">
      <w:pPr>
        <w:jc w:val="right"/>
        <w:rPr>
          <w:rFonts w:ascii="Verdana" w:hAnsi="Verdana" w:cs="Arial"/>
          <w:b/>
          <w:bCs/>
          <w:sz w:val="22"/>
          <w:szCs w:val="22"/>
        </w:rPr>
      </w:pPr>
    </w:p>
    <w:p w14:paraId="1D48E697" w14:textId="77777777" w:rsidR="00340DA8" w:rsidRDefault="00340DA8" w:rsidP="0007325E">
      <w:pPr>
        <w:jc w:val="right"/>
        <w:rPr>
          <w:rFonts w:ascii="Verdana" w:hAnsi="Verdana" w:cs="Arial"/>
          <w:b/>
          <w:bCs/>
          <w:sz w:val="22"/>
          <w:szCs w:val="22"/>
        </w:rPr>
      </w:pPr>
    </w:p>
    <w:p w14:paraId="10C2EB2D" w14:textId="77777777" w:rsidR="00340DA8" w:rsidRDefault="00340DA8" w:rsidP="0007325E">
      <w:pPr>
        <w:jc w:val="right"/>
        <w:rPr>
          <w:rFonts w:ascii="Verdana" w:hAnsi="Verdana" w:cs="Arial"/>
          <w:b/>
          <w:bCs/>
          <w:sz w:val="22"/>
          <w:szCs w:val="22"/>
        </w:rPr>
      </w:pPr>
    </w:p>
    <w:p w14:paraId="20C4D94B" w14:textId="77777777" w:rsidR="00340DA8" w:rsidRDefault="00340DA8" w:rsidP="0007325E">
      <w:pPr>
        <w:jc w:val="right"/>
        <w:rPr>
          <w:rFonts w:ascii="Verdana" w:hAnsi="Verdana" w:cs="Arial"/>
          <w:b/>
          <w:bCs/>
          <w:sz w:val="22"/>
          <w:szCs w:val="22"/>
        </w:rPr>
      </w:pPr>
    </w:p>
    <w:p w14:paraId="3AD0D1B6" w14:textId="77777777" w:rsidR="00340DA8" w:rsidRDefault="00340DA8" w:rsidP="0007325E">
      <w:pPr>
        <w:jc w:val="right"/>
        <w:rPr>
          <w:rFonts w:ascii="Verdana" w:hAnsi="Verdana" w:cs="Arial"/>
          <w:b/>
          <w:bCs/>
          <w:sz w:val="22"/>
          <w:szCs w:val="22"/>
        </w:rPr>
      </w:pPr>
    </w:p>
    <w:p w14:paraId="780A072F" w14:textId="77777777" w:rsidR="00340DA8" w:rsidRDefault="00340DA8" w:rsidP="0007325E">
      <w:pPr>
        <w:jc w:val="right"/>
        <w:rPr>
          <w:rFonts w:ascii="Verdana" w:hAnsi="Verdana" w:cs="Arial"/>
          <w:b/>
          <w:bCs/>
          <w:sz w:val="22"/>
          <w:szCs w:val="22"/>
        </w:rPr>
      </w:pPr>
    </w:p>
    <w:p w14:paraId="33C28EA3" w14:textId="77777777" w:rsidR="00340DA8" w:rsidRDefault="00340DA8" w:rsidP="0007325E">
      <w:pPr>
        <w:jc w:val="right"/>
        <w:rPr>
          <w:rFonts w:ascii="Verdana" w:hAnsi="Verdana" w:cs="Arial"/>
          <w:b/>
          <w:bCs/>
          <w:sz w:val="22"/>
          <w:szCs w:val="22"/>
        </w:rPr>
      </w:pPr>
    </w:p>
    <w:p w14:paraId="49E6C0BB" w14:textId="77777777" w:rsidR="00340DA8" w:rsidRDefault="00340DA8" w:rsidP="0007325E">
      <w:pPr>
        <w:jc w:val="right"/>
        <w:rPr>
          <w:rFonts w:ascii="Verdana" w:hAnsi="Verdana" w:cs="Arial"/>
          <w:b/>
          <w:bCs/>
          <w:sz w:val="22"/>
          <w:szCs w:val="22"/>
        </w:rPr>
      </w:pPr>
    </w:p>
    <w:p w14:paraId="347CA4A5" w14:textId="77777777" w:rsidR="00340DA8" w:rsidRDefault="00340DA8" w:rsidP="0007325E">
      <w:pPr>
        <w:jc w:val="right"/>
        <w:rPr>
          <w:rFonts w:ascii="Verdana" w:hAnsi="Verdana" w:cs="Arial"/>
          <w:b/>
          <w:bCs/>
          <w:sz w:val="22"/>
          <w:szCs w:val="22"/>
        </w:rPr>
      </w:pPr>
    </w:p>
    <w:p w14:paraId="2CC51832" w14:textId="77777777" w:rsidR="00340DA8" w:rsidRDefault="00340DA8" w:rsidP="0007325E">
      <w:pPr>
        <w:jc w:val="right"/>
        <w:rPr>
          <w:rFonts w:ascii="Verdana" w:hAnsi="Verdana" w:cs="Arial"/>
          <w:b/>
          <w:bCs/>
          <w:sz w:val="22"/>
          <w:szCs w:val="22"/>
        </w:rPr>
      </w:pPr>
    </w:p>
    <w:p w14:paraId="203E103B" w14:textId="77777777" w:rsidR="00340DA8" w:rsidRDefault="00340DA8" w:rsidP="0007325E">
      <w:pPr>
        <w:jc w:val="right"/>
        <w:rPr>
          <w:rFonts w:ascii="Verdana" w:hAnsi="Verdana" w:cs="Arial"/>
          <w:b/>
          <w:bCs/>
          <w:sz w:val="22"/>
          <w:szCs w:val="22"/>
        </w:rPr>
      </w:pPr>
    </w:p>
    <w:p w14:paraId="080167A7" w14:textId="77777777" w:rsidR="00340DA8" w:rsidRDefault="00340DA8" w:rsidP="0007325E">
      <w:pPr>
        <w:jc w:val="right"/>
        <w:rPr>
          <w:rFonts w:ascii="Verdana" w:hAnsi="Verdana" w:cs="Arial"/>
          <w:b/>
          <w:bCs/>
          <w:sz w:val="22"/>
          <w:szCs w:val="22"/>
        </w:rPr>
      </w:pPr>
    </w:p>
    <w:p w14:paraId="38F21855" w14:textId="77777777" w:rsidR="00340DA8" w:rsidRDefault="00340DA8" w:rsidP="0007325E">
      <w:pPr>
        <w:jc w:val="right"/>
        <w:rPr>
          <w:rFonts w:ascii="Verdana" w:hAnsi="Verdana" w:cs="Arial"/>
          <w:b/>
          <w:bCs/>
          <w:sz w:val="22"/>
          <w:szCs w:val="22"/>
        </w:rPr>
      </w:pPr>
    </w:p>
    <w:p w14:paraId="3A9C443B" w14:textId="77777777" w:rsidR="00340DA8" w:rsidRDefault="00340DA8" w:rsidP="0007325E">
      <w:pPr>
        <w:jc w:val="right"/>
        <w:rPr>
          <w:rFonts w:ascii="Verdana" w:hAnsi="Verdana" w:cs="Arial"/>
          <w:b/>
          <w:bCs/>
          <w:sz w:val="22"/>
          <w:szCs w:val="22"/>
        </w:rPr>
      </w:pPr>
    </w:p>
    <w:p w14:paraId="17F24CA0" w14:textId="77777777" w:rsidR="00C54F6C" w:rsidRDefault="00C54F6C" w:rsidP="0007325E">
      <w:pPr>
        <w:jc w:val="right"/>
        <w:rPr>
          <w:rFonts w:ascii="Verdana" w:hAnsi="Verdana" w:cs="Arial"/>
          <w:b/>
          <w:bCs/>
          <w:sz w:val="22"/>
          <w:szCs w:val="22"/>
        </w:rPr>
      </w:pPr>
    </w:p>
    <w:p w14:paraId="45724AA6" w14:textId="77777777" w:rsidR="00C54F6C" w:rsidRDefault="00C54F6C" w:rsidP="0007325E">
      <w:pPr>
        <w:jc w:val="right"/>
        <w:rPr>
          <w:rFonts w:ascii="Verdana" w:hAnsi="Verdana" w:cs="Arial"/>
          <w:b/>
          <w:bCs/>
          <w:sz w:val="22"/>
          <w:szCs w:val="22"/>
        </w:rPr>
      </w:pPr>
    </w:p>
    <w:p w14:paraId="4CA6A8CE" w14:textId="77777777" w:rsidR="00C54F6C" w:rsidRDefault="00C54F6C" w:rsidP="0007325E">
      <w:pPr>
        <w:jc w:val="right"/>
        <w:rPr>
          <w:rFonts w:ascii="Verdana" w:hAnsi="Verdana" w:cs="Arial"/>
          <w:b/>
          <w:bCs/>
          <w:sz w:val="22"/>
          <w:szCs w:val="22"/>
        </w:rPr>
      </w:pPr>
    </w:p>
    <w:p w14:paraId="30A6D342" w14:textId="77777777" w:rsidR="00C54F6C" w:rsidRDefault="00C54F6C" w:rsidP="0007325E">
      <w:pPr>
        <w:jc w:val="right"/>
        <w:rPr>
          <w:rFonts w:ascii="Verdana" w:hAnsi="Verdana" w:cs="Arial"/>
          <w:b/>
          <w:bCs/>
          <w:sz w:val="22"/>
          <w:szCs w:val="22"/>
        </w:rPr>
      </w:pPr>
    </w:p>
    <w:p w14:paraId="0B035E73" w14:textId="77777777" w:rsidR="00C54F6C" w:rsidRDefault="00C54F6C" w:rsidP="0007325E">
      <w:pPr>
        <w:jc w:val="right"/>
        <w:rPr>
          <w:rFonts w:ascii="Verdana" w:hAnsi="Verdana" w:cs="Arial"/>
          <w:b/>
          <w:bCs/>
          <w:sz w:val="22"/>
          <w:szCs w:val="22"/>
        </w:rPr>
      </w:pPr>
    </w:p>
    <w:p w14:paraId="1B4B2298" w14:textId="77777777" w:rsidR="00C54F6C" w:rsidRDefault="00C54F6C" w:rsidP="0007325E">
      <w:pPr>
        <w:jc w:val="right"/>
        <w:rPr>
          <w:rFonts w:ascii="Verdana" w:hAnsi="Verdana" w:cs="Arial"/>
          <w:b/>
          <w:bCs/>
          <w:sz w:val="22"/>
          <w:szCs w:val="22"/>
        </w:rPr>
      </w:pPr>
    </w:p>
    <w:p w14:paraId="2C7AD944" w14:textId="77777777" w:rsidR="00C54F6C" w:rsidRDefault="00C54F6C" w:rsidP="0007325E">
      <w:pPr>
        <w:jc w:val="right"/>
        <w:rPr>
          <w:rFonts w:ascii="Verdana" w:hAnsi="Verdana" w:cs="Arial"/>
          <w:b/>
          <w:bCs/>
          <w:sz w:val="22"/>
          <w:szCs w:val="22"/>
        </w:rPr>
      </w:pPr>
    </w:p>
    <w:p w14:paraId="7FEDDA72" w14:textId="77777777" w:rsidR="00C54F6C" w:rsidRDefault="00C54F6C" w:rsidP="0007325E">
      <w:pPr>
        <w:jc w:val="right"/>
        <w:rPr>
          <w:rFonts w:ascii="Verdana" w:hAnsi="Verdana" w:cs="Arial"/>
          <w:b/>
          <w:bCs/>
          <w:sz w:val="22"/>
          <w:szCs w:val="22"/>
        </w:rPr>
      </w:pPr>
    </w:p>
    <w:p w14:paraId="62E231F6" w14:textId="77777777" w:rsidR="00C54F6C" w:rsidRDefault="00C54F6C" w:rsidP="0007325E">
      <w:pPr>
        <w:jc w:val="right"/>
        <w:rPr>
          <w:rFonts w:ascii="Verdana" w:hAnsi="Verdana" w:cs="Arial"/>
          <w:b/>
          <w:bCs/>
          <w:sz w:val="22"/>
          <w:szCs w:val="22"/>
        </w:rPr>
      </w:pPr>
    </w:p>
    <w:p w14:paraId="1AA38F99" w14:textId="77777777" w:rsidR="00C54F6C" w:rsidRDefault="00C54F6C" w:rsidP="0007325E">
      <w:pPr>
        <w:jc w:val="right"/>
        <w:rPr>
          <w:rFonts w:ascii="Verdana" w:hAnsi="Verdana" w:cs="Arial"/>
          <w:b/>
          <w:bCs/>
          <w:sz w:val="22"/>
          <w:szCs w:val="22"/>
        </w:rPr>
      </w:pPr>
    </w:p>
    <w:p w14:paraId="0FC8A345" w14:textId="77777777" w:rsidR="00C54F6C" w:rsidRDefault="00C54F6C" w:rsidP="0007325E">
      <w:pPr>
        <w:jc w:val="right"/>
        <w:rPr>
          <w:rFonts w:ascii="Verdana" w:hAnsi="Verdana" w:cs="Arial"/>
          <w:b/>
          <w:bCs/>
          <w:sz w:val="22"/>
          <w:szCs w:val="22"/>
        </w:rPr>
      </w:pPr>
    </w:p>
    <w:p w14:paraId="1F2C5ADF" w14:textId="77777777" w:rsidR="00C54F6C" w:rsidRDefault="00C54F6C" w:rsidP="0007325E">
      <w:pPr>
        <w:jc w:val="right"/>
        <w:rPr>
          <w:rFonts w:ascii="Verdana" w:hAnsi="Verdana" w:cs="Arial"/>
          <w:b/>
          <w:bCs/>
          <w:sz w:val="22"/>
          <w:szCs w:val="22"/>
        </w:rPr>
      </w:pPr>
    </w:p>
    <w:p w14:paraId="03A6D776" w14:textId="77777777" w:rsidR="00C54F6C" w:rsidRDefault="00C54F6C" w:rsidP="0007325E">
      <w:pPr>
        <w:jc w:val="right"/>
        <w:rPr>
          <w:rFonts w:ascii="Verdana" w:hAnsi="Verdana" w:cs="Arial"/>
          <w:b/>
          <w:bCs/>
          <w:sz w:val="22"/>
          <w:szCs w:val="22"/>
        </w:rPr>
      </w:pPr>
    </w:p>
    <w:p w14:paraId="32A4710E" w14:textId="77777777" w:rsidR="00C54F6C" w:rsidRDefault="00C54F6C" w:rsidP="0007325E">
      <w:pPr>
        <w:jc w:val="right"/>
        <w:rPr>
          <w:rFonts w:ascii="Verdana" w:hAnsi="Verdana" w:cs="Arial"/>
          <w:b/>
          <w:bCs/>
          <w:sz w:val="22"/>
          <w:szCs w:val="22"/>
        </w:rPr>
      </w:pPr>
    </w:p>
    <w:p w14:paraId="6991FFD9" w14:textId="77777777" w:rsidR="00C54F6C" w:rsidRDefault="00C54F6C" w:rsidP="0007325E">
      <w:pPr>
        <w:jc w:val="right"/>
        <w:rPr>
          <w:rFonts w:ascii="Verdana" w:hAnsi="Verdana" w:cs="Arial"/>
          <w:b/>
          <w:bCs/>
          <w:sz w:val="22"/>
          <w:szCs w:val="22"/>
        </w:rPr>
      </w:pPr>
    </w:p>
    <w:p w14:paraId="211118E7" w14:textId="5B70113C" w:rsidR="00C54F6C" w:rsidRDefault="00C54F6C" w:rsidP="0007325E">
      <w:pPr>
        <w:jc w:val="right"/>
        <w:rPr>
          <w:rFonts w:ascii="Verdana" w:hAnsi="Verdana" w:cs="Arial"/>
          <w:b/>
          <w:bCs/>
          <w:sz w:val="22"/>
          <w:szCs w:val="22"/>
        </w:rPr>
      </w:pPr>
    </w:p>
    <w:p w14:paraId="75521E55" w14:textId="6A62A687" w:rsidR="00E2165D" w:rsidRDefault="00E2165D" w:rsidP="0007325E">
      <w:pPr>
        <w:jc w:val="right"/>
        <w:rPr>
          <w:rFonts w:ascii="Verdana" w:hAnsi="Verdana" w:cs="Arial"/>
          <w:b/>
          <w:bCs/>
          <w:sz w:val="22"/>
          <w:szCs w:val="22"/>
        </w:rPr>
      </w:pPr>
    </w:p>
    <w:p w14:paraId="659B686D" w14:textId="16020035" w:rsidR="00E2165D" w:rsidRDefault="00E2165D" w:rsidP="0007325E">
      <w:pPr>
        <w:jc w:val="right"/>
        <w:rPr>
          <w:rFonts w:ascii="Verdana" w:hAnsi="Verdana" w:cs="Arial"/>
          <w:b/>
          <w:bCs/>
          <w:sz w:val="22"/>
          <w:szCs w:val="22"/>
        </w:rPr>
      </w:pPr>
    </w:p>
    <w:p w14:paraId="65CEA63A" w14:textId="43CBE905" w:rsidR="00E2165D" w:rsidRDefault="00E2165D" w:rsidP="0007325E">
      <w:pPr>
        <w:jc w:val="right"/>
        <w:rPr>
          <w:rFonts w:ascii="Verdana" w:hAnsi="Verdana" w:cs="Arial"/>
          <w:b/>
          <w:bCs/>
          <w:sz w:val="22"/>
          <w:szCs w:val="22"/>
        </w:rPr>
      </w:pPr>
    </w:p>
    <w:p w14:paraId="00B73884" w14:textId="0FFFCF50" w:rsidR="00E2165D" w:rsidRDefault="00E2165D" w:rsidP="0007325E">
      <w:pPr>
        <w:jc w:val="right"/>
        <w:rPr>
          <w:rFonts w:ascii="Verdana" w:hAnsi="Verdana" w:cs="Arial"/>
          <w:b/>
          <w:bCs/>
          <w:sz w:val="22"/>
          <w:szCs w:val="22"/>
        </w:rPr>
      </w:pPr>
    </w:p>
    <w:p w14:paraId="63C0DBBF" w14:textId="78BB0FC1" w:rsidR="00E2165D" w:rsidRDefault="00E2165D" w:rsidP="0007325E">
      <w:pPr>
        <w:jc w:val="right"/>
        <w:rPr>
          <w:rFonts w:ascii="Verdana" w:hAnsi="Verdana" w:cs="Arial"/>
          <w:b/>
          <w:bCs/>
          <w:sz w:val="22"/>
          <w:szCs w:val="22"/>
        </w:rPr>
      </w:pPr>
    </w:p>
    <w:p w14:paraId="3B584DB5" w14:textId="45A9F67D" w:rsidR="00E2165D" w:rsidRDefault="00E2165D" w:rsidP="0007325E">
      <w:pPr>
        <w:jc w:val="right"/>
        <w:rPr>
          <w:rFonts w:ascii="Verdana" w:hAnsi="Verdana" w:cs="Arial"/>
          <w:b/>
          <w:bCs/>
          <w:sz w:val="22"/>
          <w:szCs w:val="22"/>
        </w:rPr>
      </w:pPr>
    </w:p>
    <w:p w14:paraId="2461FC2B" w14:textId="5E13C088" w:rsidR="00E2165D" w:rsidRDefault="00E2165D" w:rsidP="0007325E">
      <w:pPr>
        <w:jc w:val="right"/>
        <w:rPr>
          <w:rFonts w:ascii="Verdana" w:hAnsi="Verdana" w:cs="Arial"/>
          <w:b/>
          <w:bCs/>
          <w:sz w:val="22"/>
          <w:szCs w:val="22"/>
        </w:rPr>
      </w:pPr>
    </w:p>
    <w:p w14:paraId="14E6AA31" w14:textId="77777777" w:rsidR="00BC5310" w:rsidRDefault="00BC5310" w:rsidP="0007325E">
      <w:pPr>
        <w:jc w:val="right"/>
        <w:rPr>
          <w:rFonts w:ascii="Verdana" w:hAnsi="Verdana" w:cs="Arial"/>
          <w:b/>
          <w:bCs/>
          <w:sz w:val="22"/>
          <w:szCs w:val="22"/>
        </w:rPr>
      </w:pPr>
    </w:p>
    <w:p w14:paraId="27F50D11" w14:textId="77777777" w:rsidR="00C54F6C" w:rsidRDefault="00C54F6C" w:rsidP="0007325E">
      <w:pPr>
        <w:jc w:val="right"/>
        <w:rPr>
          <w:rFonts w:ascii="Verdana" w:hAnsi="Verdana" w:cs="Arial"/>
          <w:b/>
          <w:bCs/>
          <w:sz w:val="22"/>
          <w:szCs w:val="22"/>
        </w:rPr>
      </w:pPr>
    </w:p>
    <w:p w14:paraId="22541BFE" w14:textId="4A989A9B" w:rsidR="00E2165D" w:rsidRPr="00E2165D" w:rsidRDefault="00E2165D" w:rsidP="00E2165D">
      <w:pPr>
        <w:pStyle w:val="Heading2"/>
        <w:rPr>
          <w:rFonts w:ascii="Verdana" w:hAnsi="Verdana"/>
          <w:i w:val="0"/>
          <w:iCs w:val="0"/>
          <w:color w:val="2F5496"/>
          <w:sz w:val="22"/>
          <w:szCs w:val="22"/>
          <w:lang w:val="en-GB" w:eastAsia="en-GB"/>
        </w:rPr>
      </w:pPr>
      <w:r>
        <w:rPr>
          <w:rFonts w:ascii="Verdana" w:hAnsi="Verdana" w:cs="Arial"/>
          <w:b w:val="0"/>
          <w:bCs w:val="0"/>
          <w:sz w:val="22"/>
          <w:szCs w:val="22"/>
        </w:rPr>
        <w:lastRenderedPageBreak/>
        <w:tab/>
      </w:r>
      <w:r>
        <w:rPr>
          <w:rFonts w:ascii="Verdana" w:hAnsi="Verdana" w:cs="Arial"/>
          <w:b w:val="0"/>
          <w:bCs w:val="0"/>
          <w:sz w:val="22"/>
          <w:szCs w:val="22"/>
        </w:rPr>
        <w:tab/>
      </w:r>
      <w:r>
        <w:rPr>
          <w:rFonts w:ascii="Verdana" w:hAnsi="Verdana" w:cs="Arial"/>
          <w:b w:val="0"/>
          <w:bCs w:val="0"/>
          <w:sz w:val="22"/>
          <w:szCs w:val="22"/>
        </w:rPr>
        <w:tab/>
      </w:r>
      <w:r>
        <w:rPr>
          <w:rFonts w:ascii="Verdana" w:hAnsi="Verdana" w:cs="Arial"/>
          <w:b w:val="0"/>
          <w:bCs w:val="0"/>
          <w:sz w:val="22"/>
          <w:szCs w:val="22"/>
        </w:rPr>
        <w:tab/>
      </w:r>
      <w:r>
        <w:rPr>
          <w:rFonts w:ascii="Verdana" w:hAnsi="Verdana" w:cs="Arial"/>
          <w:b w:val="0"/>
          <w:bCs w:val="0"/>
          <w:sz w:val="22"/>
          <w:szCs w:val="22"/>
        </w:rPr>
        <w:tab/>
      </w:r>
      <w:r>
        <w:rPr>
          <w:rFonts w:ascii="Verdana" w:hAnsi="Verdana" w:cs="Arial"/>
          <w:b w:val="0"/>
          <w:bCs w:val="0"/>
          <w:sz w:val="22"/>
          <w:szCs w:val="22"/>
        </w:rPr>
        <w:tab/>
      </w:r>
      <w:r>
        <w:rPr>
          <w:rFonts w:ascii="Verdana" w:hAnsi="Verdana" w:cs="Arial"/>
          <w:b w:val="0"/>
          <w:bCs w:val="0"/>
          <w:sz w:val="22"/>
          <w:szCs w:val="22"/>
        </w:rPr>
        <w:tab/>
      </w:r>
      <w:r>
        <w:rPr>
          <w:rFonts w:ascii="Verdana" w:hAnsi="Verdana" w:cs="Arial"/>
          <w:b w:val="0"/>
          <w:bCs w:val="0"/>
          <w:sz w:val="22"/>
          <w:szCs w:val="22"/>
        </w:rPr>
        <w:tab/>
      </w:r>
      <w:r>
        <w:rPr>
          <w:rFonts w:ascii="Verdana" w:hAnsi="Verdana" w:cs="Arial"/>
          <w:b w:val="0"/>
          <w:bCs w:val="0"/>
          <w:sz w:val="22"/>
          <w:szCs w:val="22"/>
        </w:rPr>
        <w:tab/>
      </w:r>
      <w:r>
        <w:rPr>
          <w:rFonts w:ascii="Verdana" w:hAnsi="Verdana" w:cs="Arial"/>
          <w:b w:val="0"/>
          <w:bCs w:val="0"/>
          <w:sz w:val="22"/>
          <w:szCs w:val="22"/>
        </w:rPr>
        <w:tab/>
      </w:r>
      <w:r>
        <w:rPr>
          <w:rFonts w:ascii="Verdana" w:hAnsi="Verdana" w:cs="Arial"/>
          <w:b w:val="0"/>
          <w:bCs w:val="0"/>
          <w:sz w:val="22"/>
          <w:szCs w:val="22"/>
        </w:rPr>
        <w:tab/>
      </w:r>
      <w:r w:rsidRPr="00E2165D">
        <w:rPr>
          <w:rFonts w:ascii="Verdana" w:hAnsi="Verdana"/>
          <w:i w:val="0"/>
          <w:iCs w:val="0"/>
          <w:sz w:val="22"/>
          <w:szCs w:val="22"/>
          <w:lang w:val="en-GB" w:eastAsia="en-GB"/>
        </w:rPr>
        <w:t>Appendix 2</w:t>
      </w:r>
    </w:p>
    <w:p w14:paraId="0FC2A99B" w14:textId="77777777" w:rsidR="00E2165D" w:rsidRPr="00E2165D" w:rsidRDefault="00E2165D" w:rsidP="00E2165D">
      <w:pPr>
        <w:jc w:val="right"/>
        <w:rPr>
          <w:rFonts w:ascii="Verdana" w:hAnsi="Verdana" w:cs="Arial"/>
          <w:b/>
          <w:sz w:val="22"/>
          <w:szCs w:val="22"/>
        </w:rPr>
      </w:pPr>
    </w:p>
    <w:p w14:paraId="39F159FA" w14:textId="77777777" w:rsidR="00E2165D" w:rsidRPr="00E2165D" w:rsidRDefault="00E2165D" w:rsidP="00E2165D">
      <w:pPr>
        <w:jc w:val="center"/>
        <w:rPr>
          <w:rFonts w:ascii="Verdana" w:hAnsi="Verdana" w:cs="Arial"/>
          <w:b/>
          <w:sz w:val="22"/>
          <w:szCs w:val="22"/>
        </w:rPr>
      </w:pPr>
      <w:r w:rsidRPr="00E2165D">
        <w:rPr>
          <w:rFonts w:ascii="Verdana" w:hAnsi="Verdana" w:cs="Arial"/>
          <w:b/>
          <w:sz w:val="22"/>
          <w:szCs w:val="22"/>
        </w:rPr>
        <w:t>Summary of Research</w:t>
      </w:r>
    </w:p>
    <w:p w14:paraId="7B15AE46" w14:textId="77777777" w:rsidR="00E2165D" w:rsidRPr="00E2165D" w:rsidRDefault="00E2165D" w:rsidP="00E2165D">
      <w:pPr>
        <w:jc w:val="center"/>
        <w:rPr>
          <w:rFonts w:ascii="Verdana" w:hAnsi="Verdana" w:cs="Arial"/>
          <w:b/>
          <w:sz w:val="22"/>
          <w:szCs w:val="22"/>
        </w:rPr>
      </w:pPr>
    </w:p>
    <w:p w14:paraId="09CBA733" w14:textId="77777777" w:rsidR="00E2165D" w:rsidRPr="00E2165D" w:rsidRDefault="00E2165D" w:rsidP="00E2165D">
      <w:pPr>
        <w:rPr>
          <w:rFonts w:ascii="Verdana" w:hAnsi="Verdana" w:cs="Arial"/>
          <w:sz w:val="22"/>
          <w:szCs w:val="22"/>
        </w:rPr>
      </w:pPr>
      <w:r w:rsidRPr="00E2165D">
        <w:rPr>
          <w:rFonts w:ascii="Verdana" w:hAnsi="Verdana" w:cs="Arial"/>
          <w:sz w:val="22"/>
          <w:szCs w:val="22"/>
          <w:u w:val="single"/>
        </w:rPr>
        <w:t>Chartered Institute of Public Finance and Accountancy (CIPFA) “Nearest Neighbour” authorities tool.</w:t>
      </w:r>
      <w:r w:rsidRPr="00E2165D">
        <w:rPr>
          <w:rFonts w:ascii="Verdana" w:hAnsi="Verdana" w:cs="Arial"/>
          <w:sz w:val="22"/>
          <w:szCs w:val="22"/>
        </w:rPr>
        <w:t xml:space="preserve"> </w:t>
      </w:r>
    </w:p>
    <w:p w14:paraId="64D9F511" w14:textId="77777777" w:rsidR="00E2165D" w:rsidRPr="00E2165D" w:rsidRDefault="00E2165D" w:rsidP="00E2165D">
      <w:pPr>
        <w:rPr>
          <w:rFonts w:ascii="Verdana" w:hAnsi="Verdana" w:cs="Arial"/>
          <w:sz w:val="22"/>
          <w:szCs w:val="22"/>
        </w:rPr>
      </w:pPr>
    </w:p>
    <w:p w14:paraId="189B6718" w14:textId="3B3AADDD" w:rsidR="00E2165D" w:rsidRPr="00E2165D" w:rsidRDefault="00E2165D" w:rsidP="00E2165D">
      <w:pPr>
        <w:jc w:val="both"/>
        <w:rPr>
          <w:rFonts w:ascii="Verdana" w:hAnsi="Verdana" w:cs="Arial"/>
          <w:sz w:val="22"/>
          <w:szCs w:val="22"/>
          <w:lang w:val="en"/>
        </w:rPr>
      </w:pPr>
      <w:r w:rsidRPr="00E2165D">
        <w:rPr>
          <w:rFonts w:ascii="Verdana" w:hAnsi="Verdana" w:cs="Arial"/>
          <w:sz w:val="22"/>
          <w:szCs w:val="22"/>
        </w:rPr>
        <w:t>No two Councils or se</w:t>
      </w:r>
      <w:r w:rsidR="006408D3">
        <w:rPr>
          <w:rFonts w:ascii="Verdana" w:hAnsi="Verdana" w:cs="Arial"/>
          <w:sz w:val="22"/>
          <w:szCs w:val="22"/>
        </w:rPr>
        <w:t>ts of Councillors are the same.</w:t>
      </w:r>
      <w:r w:rsidRPr="00E2165D">
        <w:rPr>
          <w:rFonts w:ascii="Verdana" w:hAnsi="Verdana" w:cs="Arial"/>
          <w:sz w:val="22"/>
          <w:szCs w:val="22"/>
        </w:rPr>
        <w:t xml:space="preserve"> </w:t>
      </w:r>
      <w:r w:rsidRPr="00E2165D">
        <w:rPr>
          <w:rFonts w:ascii="Verdana" w:hAnsi="Verdana" w:cs="Arial"/>
          <w:sz w:val="22"/>
          <w:szCs w:val="22"/>
          <w:lang w:val="en"/>
        </w:rPr>
        <w:t xml:space="preserve">Developed to aid local authorities in comparative and benchmarking exercises, the CIPFA Nearest Neighbours Model adopts a scientific approach to measuring the </w:t>
      </w:r>
      <w:r w:rsidR="006408D3">
        <w:rPr>
          <w:rFonts w:ascii="Verdana" w:hAnsi="Verdana" w:cs="Arial"/>
          <w:sz w:val="22"/>
          <w:szCs w:val="22"/>
          <w:lang w:val="en"/>
        </w:rPr>
        <w:t>similarity between authorities.</w:t>
      </w:r>
      <w:r w:rsidRPr="00E2165D">
        <w:rPr>
          <w:rFonts w:ascii="Verdana" w:hAnsi="Verdana" w:cs="Arial"/>
          <w:sz w:val="22"/>
          <w:szCs w:val="22"/>
          <w:lang w:val="en"/>
        </w:rPr>
        <w:t xml:space="preserve"> Using the data, </w:t>
      </w:r>
      <w:r w:rsidR="00152C98">
        <w:rPr>
          <w:rFonts w:ascii="Verdana" w:hAnsi="Verdana" w:cs="Arial"/>
          <w:sz w:val="22"/>
          <w:szCs w:val="22"/>
          <w:lang w:val="en"/>
        </w:rPr>
        <w:t>Malvern Hills District</w:t>
      </w:r>
      <w:r w:rsidRPr="00E2165D">
        <w:rPr>
          <w:rFonts w:ascii="Verdana" w:hAnsi="Verdana" w:cs="Arial"/>
          <w:color w:val="FF0000"/>
          <w:sz w:val="22"/>
          <w:szCs w:val="22"/>
          <w:lang w:val="en"/>
        </w:rPr>
        <w:t xml:space="preserve"> </w:t>
      </w:r>
      <w:r w:rsidRPr="00152C98">
        <w:rPr>
          <w:rFonts w:ascii="Verdana" w:hAnsi="Verdana" w:cs="Arial"/>
          <w:sz w:val="22"/>
          <w:szCs w:val="22"/>
          <w:lang w:val="en"/>
        </w:rPr>
        <w:t>Council</w:t>
      </w:r>
      <w:r w:rsidRPr="00E2165D">
        <w:rPr>
          <w:rFonts w:ascii="Verdana" w:hAnsi="Verdana" w:cs="Arial"/>
          <w:color w:val="FF0000"/>
          <w:sz w:val="22"/>
          <w:szCs w:val="22"/>
          <w:lang w:val="en"/>
        </w:rPr>
        <w:t xml:space="preserve"> </w:t>
      </w:r>
      <w:r w:rsidRPr="00E2165D">
        <w:rPr>
          <w:rFonts w:ascii="Verdana" w:hAnsi="Verdana" w:cs="Arial"/>
          <w:sz w:val="22"/>
          <w:szCs w:val="22"/>
          <w:lang w:val="en"/>
        </w:rPr>
        <w:t>“nearest neighbours”</w:t>
      </w:r>
      <w:r w:rsidR="006408D3">
        <w:rPr>
          <w:rFonts w:ascii="Verdana" w:hAnsi="Verdana" w:cs="Arial"/>
          <w:sz w:val="22"/>
          <w:szCs w:val="22"/>
          <w:lang w:val="en"/>
        </w:rPr>
        <w:t xml:space="preserve"> </w:t>
      </w:r>
      <w:r w:rsidRPr="00E2165D">
        <w:rPr>
          <w:rFonts w:ascii="Verdana" w:hAnsi="Verdana" w:cs="Arial"/>
          <w:sz w:val="22"/>
          <w:szCs w:val="22"/>
          <w:lang w:val="en"/>
        </w:rPr>
        <w:t>are:</w:t>
      </w:r>
    </w:p>
    <w:p w14:paraId="1CCEB600" w14:textId="77777777" w:rsidR="00E2165D" w:rsidRPr="00E2165D" w:rsidRDefault="00E2165D" w:rsidP="00E2165D">
      <w:pPr>
        <w:jc w:val="both"/>
        <w:rPr>
          <w:rFonts w:ascii="Verdana" w:hAnsi="Verdana" w:cs="Arial"/>
          <w:sz w:val="22"/>
          <w:szCs w:val="22"/>
          <w:lang w:val="en"/>
        </w:rPr>
      </w:pPr>
    </w:p>
    <w:p w14:paraId="5549AEE1" w14:textId="652C6D93" w:rsidR="00E2165D" w:rsidRPr="00E2165D" w:rsidRDefault="00152C98" w:rsidP="00E2165D">
      <w:pPr>
        <w:numPr>
          <w:ilvl w:val="0"/>
          <w:numId w:val="11"/>
        </w:numPr>
        <w:rPr>
          <w:rFonts w:ascii="Verdana" w:hAnsi="Verdana" w:cs="Arial"/>
          <w:sz w:val="22"/>
          <w:szCs w:val="22"/>
          <w:lang w:val="en"/>
        </w:rPr>
      </w:pPr>
      <w:r>
        <w:rPr>
          <w:rFonts w:ascii="Verdana" w:hAnsi="Verdana" w:cs="Arial"/>
          <w:sz w:val="22"/>
          <w:szCs w:val="22"/>
          <w:lang w:val="en"/>
        </w:rPr>
        <w:t>Babergh</w:t>
      </w:r>
    </w:p>
    <w:p w14:paraId="06C6DC56" w14:textId="74CC0368" w:rsidR="00E2165D" w:rsidRPr="00E2165D" w:rsidRDefault="00152C98" w:rsidP="00E2165D">
      <w:pPr>
        <w:numPr>
          <w:ilvl w:val="0"/>
          <w:numId w:val="11"/>
        </w:numPr>
        <w:rPr>
          <w:rFonts w:ascii="Verdana" w:hAnsi="Verdana" w:cs="Arial"/>
          <w:sz w:val="22"/>
          <w:szCs w:val="22"/>
          <w:lang w:val="en"/>
        </w:rPr>
      </w:pPr>
      <w:r>
        <w:rPr>
          <w:rFonts w:ascii="Verdana" w:hAnsi="Verdana" w:cs="Arial"/>
          <w:sz w:val="22"/>
          <w:szCs w:val="22"/>
          <w:lang w:val="en"/>
        </w:rPr>
        <w:t>Derbyshire Dales</w:t>
      </w:r>
    </w:p>
    <w:p w14:paraId="15FF869E" w14:textId="78EB7A0B" w:rsidR="00E2165D" w:rsidRPr="00E2165D" w:rsidRDefault="00152C98" w:rsidP="00E2165D">
      <w:pPr>
        <w:numPr>
          <w:ilvl w:val="0"/>
          <w:numId w:val="11"/>
        </w:numPr>
        <w:contextualSpacing/>
        <w:rPr>
          <w:rFonts w:ascii="Verdana" w:hAnsi="Verdana" w:cs="Arial"/>
          <w:sz w:val="22"/>
          <w:szCs w:val="22"/>
          <w:lang w:val="en"/>
        </w:rPr>
      </w:pPr>
      <w:r>
        <w:rPr>
          <w:rFonts w:ascii="Verdana" w:hAnsi="Verdana" w:cs="Arial"/>
          <w:sz w:val="22"/>
          <w:szCs w:val="22"/>
          <w:lang w:val="en"/>
        </w:rPr>
        <w:t>Hambleton</w:t>
      </w:r>
    </w:p>
    <w:p w14:paraId="06DC17CB" w14:textId="38B4B2DB" w:rsidR="00E2165D" w:rsidRPr="00152C98" w:rsidRDefault="00152C98" w:rsidP="00E2165D">
      <w:pPr>
        <w:numPr>
          <w:ilvl w:val="0"/>
          <w:numId w:val="11"/>
        </w:numPr>
        <w:contextualSpacing/>
        <w:rPr>
          <w:rFonts w:ascii="Verdana" w:hAnsi="Verdana" w:cs="Arial"/>
          <w:bCs/>
          <w:sz w:val="22"/>
          <w:szCs w:val="22"/>
          <w:lang w:val="en"/>
        </w:rPr>
      </w:pPr>
      <w:r w:rsidRPr="00152C98">
        <w:rPr>
          <w:rFonts w:ascii="Verdana" w:hAnsi="Verdana" w:cs="Arial"/>
          <w:bCs/>
          <w:sz w:val="22"/>
          <w:szCs w:val="22"/>
          <w:lang w:val="en"/>
        </w:rPr>
        <w:t>West Devon</w:t>
      </w:r>
    </w:p>
    <w:p w14:paraId="448989A8" w14:textId="2D64E433" w:rsidR="00E2165D" w:rsidRPr="00E2165D" w:rsidRDefault="00152C98" w:rsidP="00E2165D">
      <w:pPr>
        <w:numPr>
          <w:ilvl w:val="0"/>
          <w:numId w:val="11"/>
        </w:numPr>
        <w:contextualSpacing/>
        <w:rPr>
          <w:rFonts w:ascii="Verdana" w:hAnsi="Verdana" w:cs="Arial"/>
          <w:sz w:val="22"/>
          <w:szCs w:val="22"/>
          <w:lang w:val="en"/>
        </w:rPr>
      </w:pPr>
      <w:r>
        <w:rPr>
          <w:rFonts w:ascii="Verdana" w:hAnsi="Verdana" w:cs="Arial"/>
          <w:sz w:val="22"/>
          <w:szCs w:val="22"/>
          <w:lang w:val="en"/>
        </w:rPr>
        <w:t>Wychavon</w:t>
      </w:r>
    </w:p>
    <w:p w14:paraId="6B72D3BC" w14:textId="77777777" w:rsidR="00E2165D" w:rsidRPr="00E2165D" w:rsidRDefault="00E2165D" w:rsidP="00E2165D">
      <w:pPr>
        <w:rPr>
          <w:rFonts w:ascii="Verdana" w:hAnsi="Verdana" w:cs="Arial"/>
          <w:sz w:val="22"/>
          <w:szCs w:val="22"/>
          <w:lang w:val="en"/>
        </w:rPr>
      </w:pPr>
    </w:p>
    <w:p w14:paraId="2F31CE1B" w14:textId="77777777" w:rsidR="00E2165D" w:rsidRPr="00E2165D" w:rsidRDefault="00E2165D" w:rsidP="00E2165D">
      <w:pPr>
        <w:jc w:val="both"/>
        <w:rPr>
          <w:rFonts w:ascii="Verdana" w:hAnsi="Verdana" w:cs="Arial"/>
          <w:sz w:val="22"/>
          <w:szCs w:val="22"/>
          <w:lang w:val="en"/>
        </w:rPr>
      </w:pPr>
      <w:r w:rsidRPr="00E2165D">
        <w:rPr>
          <w:rFonts w:ascii="Verdana" w:hAnsi="Verdana" w:cs="Arial"/>
          <w:sz w:val="22"/>
          <w:szCs w:val="22"/>
          <w:lang w:val="en"/>
        </w:rPr>
        <w:t xml:space="preserve">Information on the level of Basic and Special Responsibility Allowances was obtained to benchmark the levels of allowances recommended to the Council. </w:t>
      </w:r>
      <w:r w:rsidRPr="006C6FA7">
        <w:rPr>
          <w:rFonts w:ascii="Verdana" w:hAnsi="Verdana" w:cs="Arial"/>
          <w:sz w:val="22"/>
          <w:szCs w:val="22"/>
          <w:lang w:val="en"/>
        </w:rPr>
        <w:t>The average basic award across all the “nearest neighbour” authorities was £5,377 as at November 2020.</w:t>
      </w:r>
    </w:p>
    <w:p w14:paraId="24BCB08F" w14:textId="77777777" w:rsidR="00E2165D" w:rsidRPr="00E2165D" w:rsidRDefault="00E2165D" w:rsidP="00E2165D">
      <w:pPr>
        <w:jc w:val="both"/>
        <w:rPr>
          <w:rFonts w:ascii="Verdana" w:hAnsi="Verdana" w:cs="Arial"/>
          <w:sz w:val="22"/>
          <w:szCs w:val="22"/>
          <w:lang w:val="en"/>
        </w:rPr>
      </w:pPr>
    </w:p>
    <w:p w14:paraId="75CE341D" w14:textId="77777777" w:rsidR="00E2165D" w:rsidRPr="00E2165D" w:rsidRDefault="00E2165D" w:rsidP="00E2165D">
      <w:pPr>
        <w:rPr>
          <w:rFonts w:ascii="Verdana" w:hAnsi="Verdana" w:cs="Arial"/>
          <w:sz w:val="22"/>
          <w:szCs w:val="22"/>
          <w:u w:val="single"/>
          <w:lang w:val="en"/>
        </w:rPr>
      </w:pPr>
      <w:r w:rsidRPr="00E2165D">
        <w:rPr>
          <w:rFonts w:ascii="Verdana" w:hAnsi="Verdana" w:cs="Arial"/>
          <w:sz w:val="22"/>
          <w:szCs w:val="22"/>
          <w:u w:val="single"/>
          <w:lang w:val="en"/>
        </w:rPr>
        <w:t>Annual Survey of Hours and Earnings (ASHE) Data on Pay</w:t>
      </w:r>
    </w:p>
    <w:p w14:paraId="02B23865" w14:textId="77777777" w:rsidR="00E2165D" w:rsidRPr="00E2165D" w:rsidRDefault="00E2165D" w:rsidP="00E2165D">
      <w:pPr>
        <w:ind w:left="-851"/>
        <w:rPr>
          <w:rFonts w:ascii="Verdana" w:hAnsi="Verdana" w:cs="Arial"/>
          <w:sz w:val="22"/>
          <w:szCs w:val="22"/>
          <w:u w:val="single"/>
          <w:lang w:val="en"/>
        </w:rPr>
      </w:pPr>
    </w:p>
    <w:p w14:paraId="0A2A37E9" w14:textId="77777777" w:rsidR="00E2165D" w:rsidRPr="00E2165D" w:rsidRDefault="005252E3" w:rsidP="00E2165D">
      <w:pPr>
        <w:rPr>
          <w:rFonts w:ascii="Verdana" w:hAnsi="Verdana"/>
          <w:sz w:val="22"/>
          <w:szCs w:val="22"/>
        </w:rPr>
      </w:pPr>
      <w:hyperlink r:id="rId11" w:history="1">
        <w:r w:rsidR="00E2165D" w:rsidRPr="00E2165D">
          <w:rPr>
            <w:rFonts w:ascii="Verdana" w:hAnsi="Verdana"/>
            <w:color w:val="0000FF"/>
            <w:sz w:val="22"/>
            <w:szCs w:val="22"/>
            <w:u w:val="single"/>
          </w:rPr>
          <w:t>https://www.nomisweb.co.uk/reports/lmp/la/contents.aspx</w:t>
        </w:r>
      </w:hyperlink>
    </w:p>
    <w:p w14:paraId="10AFA87C" w14:textId="77777777" w:rsidR="00E2165D" w:rsidRPr="00E2165D" w:rsidRDefault="00E2165D" w:rsidP="00E2165D">
      <w:pPr>
        <w:rPr>
          <w:rFonts w:ascii="Verdana" w:hAnsi="Verdana"/>
          <w:sz w:val="22"/>
          <w:szCs w:val="22"/>
        </w:rPr>
      </w:pPr>
    </w:p>
    <w:p w14:paraId="3DDF686A" w14:textId="77777777" w:rsidR="00E2165D" w:rsidRPr="00E2165D" w:rsidRDefault="005252E3" w:rsidP="00E2165D">
      <w:pPr>
        <w:rPr>
          <w:rFonts w:ascii="Verdana" w:hAnsi="Verdana" w:cs="Arial"/>
          <w:sz w:val="22"/>
          <w:szCs w:val="22"/>
          <w:lang w:val="en"/>
        </w:rPr>
      </w:pPr>
      <w:hyperlink r:id="rId12" w:history="1">
        <w:r w:rsidR="00E2165D" w:rsidRPr="00E2165D">
          <w:rPr>
            <w:rFonts w:ascii="Verdana" w:hAnsi="Verdana" w:cs="Arial"/>
            <w:color w:val="0000FF"/>
            <w:sz w:val="22"/>
            <w:szCs w:val="22"/>
            <w:u w:val="single"/>
            <w:lang w:val="en"/>
          </w:rPr>
          <w:t>https://www.nomisweb.co.uk/query/construct/summary.asp?reset=yes&amp;mode=construct&amp;dataset=30&amp;version=0&amp;anal=1&amp;initsel</w:t>
        </w:r>
      </w:hyperlink>
      <w:r w:rsidR="00E2165D" w:rsidRPr="00E2165D">
        <w:rPr>
          <w:rFonts w:ascii="Verdana" w:hAnsi="Verdana" w:cs="Arial"/>
          <w:sz w:val="22"/>
          <w:szCs w:val="22"/>
          <w:lang w:val="en"/>
        </w:rPr>
        <w:t>=</w:t>
      </w:r>
    </w:p>
    <w:p w14:paraId="3EB5911F" w14:textId="77777777" w:rsidR="00E2165D" w:rsidRPr="00E2165D" w:rsidRDefault="00E2165D" w:rsidP="00E2165D">
      <w:pPr>
        <w:rPr>
          <w:rFonts w:ascii="Verdana" w:hAnsi="Verdana" w:cs="Arial"/>
          <w:sz w:val="22"/>
          <w:szCs w:val="22"/>
          <w:lang w:val="en"/>
        </w:rPr>
      </w:pPr>
    </w:p>
    <w:p w14:paraId="568D35EA" w14:textId="54B72F54" w:rsidR="00E2165D" w:rsidRPr="00E2165D" w:rsidRDefault="00E2165D" w:rsidP="00E2165D">
      <w:pPr>
        <w:jc w:val="both"/>
        <w:rPr>
          <w:rFonts w:ascii="Verdana" w:hAnsi="Verdana" w:cs="Arial"/>
          <w:color w:val="FF0000"/>
          <w:sz w:val="22"/>
          <w:szCs w:val="22"/>
          <w:lang w:val="en"/>
        </w:rPr>
      </w:pPr>
      <w:r w:rsidRPr="00E2165D">
        <w:rPr>
          <w:rFonts w:ascii="Verdana" w:hAnsi="Verdana" w:cs="Arial"/>
          <w:sz w:val="22"/>
          <w:szCs w:val="22"/>
          <w:lang w:val="en"/>
        </w:rPr>
        <w:t>Published by the Office for National Statistics, the Annual Survey of Hours and Earnings (ASHE) shows detailed information at Dist</w:t>
      </w:r>
      <w:r w:rsidR="006408D3">
        <w:rPr>
          <w:rFonts w:ascii="Verdana" w:hAnsi="Verdana" w:cs="Arial"/>
          <w:sz w:val="22"/>
          <w:szCs w:val="22"/>
          <w:lang w:val="en"/>
        </w:rPr>
        <w:t xml:space="preserve">rict level about rates of pay. </w:t>
      </w:r>
      <w:r w:rsidRPr="00E2165D">
        <w:rPr>
          <w:rFonts w:ascii="Verdana" w:hAnsi="Verdana" w:cs="Arial"/>
          <w:sz w:val="22"/>
          <w:szCs w:val="22"/>
          <w:lang w:val="en"/>
        </w:rPr>
        <w:t xml:space="preserve">For benchmarking purposes, the Panel uses the levels for hourly rates of pay excluding overtime </w:t>
      </w:r>
      <w:r w:rsidRPr="006C6FA7">
        <w:rPr>
          <w:rFonts w:ascii="Verdana" w:hAnsi="Verdana" w:cs="Arial"/>
          <w:sz w:val="22"/>
          <w:szCs w:val="22"/>
          <w:lang w:val="en"/>
        </w:rPr>
        <w:t>(currently £</w:t>
      </w:r>
      <w:r w:rsidR="000D621A" w:rsidRPr="006C6FA7">
        <w:rPr>
          <w:rFonts w:ascii="Verdana" w:hAnsi="Verdana" w:cs="Arial"/>
          <w:sz w:val="22"/>
          <w:szCs w:val="22"/>
          <w:lang w:val="en"/>
        </w:rPr>
        <w:t>14.78</w:t>
      </w:r>
      <w:r w:rsidRPr="006C6FA7">
        <w:rPr>
          <w:rFonts w:ascii="Verdana" w:hAnsi="Verdana" w:cs="Arial"/>
          <w:sz w:val="22"/>
          <w:szCs w:val="22"/>
          <w:lang w:val="en"/>
        </w:rPr>
        <w:t xml:space="preserve"> as at </w:t>
      </w:r>
      <w:r w:rsidR="000D621A" w:rsidRPr="006C6FA7">
        <w:rPr>
          <w:rFonts w:ascii="Verdana" w:hAnsi="Verdana" w:cs="Arial"/>
          <w:sz w:val="22"/>
          <w:szCs w:val="22"/>
          <w:lang w:val="en"/>
        </w:rPr>
        <w:t>Dec</w:t>
      </w:r>
      <w:r w:rsidRPr="006C6FA7">
        <w:rPr>
          <w:rFonts w:ascii="Verdana" w:hAnsi="Verdana" w:cs="Arial"/>
          <w:sz w:val="22"/>
          <w:szCs w:val="22"/>
          <w:lang w:val="en"/>
        </w:rPr>
        <w:t>ember 2020).</w:t>
      </w:r>
      <w:r w:rsidR="006408D3" w:rsidRPr="006C6FA7">
        <w:rPr>
          <w:rFonts w:ascii="Verdana" w:hAnsi="Verdana" w:cs="Arial"/>
          <w:sz w:val="22"/>
          <w:szCs w:val="22"/>
          <w:lang w:val="en"/>
        </w:rPr>
        <w:t xml:space="preserve"> </w:t>
      </w:r>
      <w:r w:rsidRPr="00E2165D">
        <w:rPr>
          <w:rFonts w:ascii="Verdana" w:hAnsi="Verdana" w:cs="Arial"/>
          <w:sz w:val="22"/>
          <w:szCs w:val="22"/>
          <w:lang w:val="en"/>
        </w:rPr>
        <w:t>This is multiplied by 11 to give a weekly rate, which is then multiplied by 44.4 weeks to allow for holidays.  This was the number of hours spent on Council business by frontline Councillors which had been reported in previous surveys and substantiated by a survey with Worcester City Counc</w:t>
      </w:r>
      <w:r w:rsidR="006408D3">
        <w:rPr>
          <w:rFonts w:ascii="Verdana" w:hAnsi="Verdana" w:cs="Arial"/>
          <w:sz w:val="22"/>
          <w:szCs w:val="22"/>
          <w:lang w:val="en"/>
        </w:rPr>
        <w:t xml:space="preserve">illors in the autumn of 2015. </w:t>
      </w:r>
      <w:r w:rsidRPr="00E2165D">
        <w:rPr>
          <w:rFonts w:ascii="Verdana" w:hAnsi="Verdana" w:cs="Arial"/>
          <w:sz w:val="22"/>
          <w:szCs w:val="22"/>
          <w:lang w:val="en"/>
        </w:rPr>
        <w:t xml:space="preserve">The rate is then discounted by 40% to reflect the element of volunteering that each Councillor undertakes in the role. </w:t>
      </w:r>
      <w:r w:rsidRPr="006C6FA7">
        <w:rPr>
          <w:rFonts w:ascii="Verdana" w:hAnsi="Verdana" w:cs="Arial"/>
          <w:sz w:val="22"/>
          <w:szCs w:val="22"/>
          <w:lang w:val="en"/>
        </w:rPr>
        <w:t>As a benchmark indicator this would produce a figure of £</w:t>
      </w:r>
      <w:r w:rsidR="000D621A" w:rsidRPr="006C6FA7">
        <w:rPr>
          <w:rFonts w:ascii="Verdana" w:hAnsi="Verdana" w:cs="Arial"/>
          <w:sz w:val="22"/>
          <w:szCs w:val="22"/>
          <w:lang w:val="en"/>
        </w:rPr>
        <w:t>4,331</w:t>
      </w:r>
      <w:r w:rsidRPr="006C6FA7">
        <w:rPr>
          <w:rFonts w:ascii="Verdana" w:hAnsi="Verdana" w:cs="Arial"/>
          <w:sz w:val="22"/>
          <w:szCs w:val="22"/>
          <w:lang w:val="en"/>
        </w:rPr>
        <w:t xml:space="preserve"> per annum</w:t>
      </w:r>
      <w:r w:rsidR="006C6FA7">
        <w:rPr>
          <w:rFonts w:ascii="Verdana" w:hAnsi="Verdana" w:cs="Arial"/>
          <w:sz w:val="22"/>
          <w:szCs w:val="22"/>
          <w:lang w:val="en"/>
        </w:rPr>
        <w:t>.</w:t>
      </w:r>
      <w:r w:rsidRPr="00DA4690">
        <w:rPr>
          <w:rFonts w:ascii="Verdana" w:hAnsi="Verdana" w:cs="Arial"/>
          <w:sz w:val="22"/>
          <w:szCs w:val="22"/>
          <w:shd w:val="clear" w:color="auto" w:fill="E2EFD9"/>
          <w:lang w:val="en"/>
        </w:rPr>
        <w:t xml:space="preserve"> </w:t>
      </w:r>
    </w:p>
    <w:p w14:paraId="025A422E" w14:textId="77777777" w:rsidR="00E2165D" w:rsidRPr="00E2165D" w:rsidRDefault="00E2165D" w:rsidP="00E2165D">
      <w:pPr>
        <w:jc w:val="both"/>
        <w:rPr>
          <w:rFonts w:ascii="Verdana" w:hAnsi="Verdana" w:cs="Arial"/>
          <w:sz w:val="22"/>
          <w:szCs w:val="22"/>
          <w:lang w:val="en"/>
        </w:rPr>
      </w:pPr>
    </w:p>
    <w:p w14:paraId="5BA98EF7" w14:textId="77777777" w:rsidR="00E2165D" w:rsidRPr="00E2165D" w:rsidRDefault="00E2165D" w:rsidP="00E2165D">
      <w:pPr>
        <w:rPr>
          <w:rFonts w:ascii="Verdana" w:hAnsi="Verdana" w:cs="Arial"/>
          <w:sz w:val="22"/>
          <w:szCs w:val="22"/>
          <w:u w:val="single"/>
          <w:lang w:val="en"/>
        </w:rPr>
      </w:pPr>
      <w:r w:rsidRPr="00E2165D">
        <w:rPr>
          <w:rFonts w:ascii="Verdana" w:hAnsi="Verdana" w:cs="Arial"/>
          <w:sz w:val="22"/>
          <w:szCs w:val="22"/>
          <w:u w:val="single"/>
          <w:lang w:val="en"/>
        </w:rPr>
        <w:t>CPI (Consumer Price Inflation)</w:t>
      </w:r>
    </w:p>
    <w:p w14:paraId="12DE72AD" w14:textId="77777777" w:rsidR="00E2165D" w:rsidRPr="00E2165D" w:rsidRDefault="00E2165D" w:rsidP="00E2165D">
      <w:pPr>
        <w:rPr>
          <w:rFonts w:ascii="Verdana" w:hAnsi="Verdana" w:cs="Arial"/>
          <w:sz w:val="22"/>
          <w:szCs w:val="22"/>
          <w:u w:val="single"/>
          <w:lang w:val="en"/>
        </w:rPr>
      </w:pPr>
    </w:p>
    <w:p w14:paraId="7AE21243" w14:textId="551F9BD8" w:rsidR="00E2165D" w:rsidRPr="00E2165D" w:rsidRDefault="00E2165D" w:rsidP="00E2165D">
      <w:pPr>
        <w:rPr>
          <w:rFonts w:ascii="Verdana" w:eastAsia="Calibri" w:hAnsi="Verdana" w:cs="Arial"/>
          <w:sz w:val="22"/>
          <w:szCs w:val="22"/>
          <w:lang w:eastAsia="en-US"/>
        </w:rPr>
      </w:pPr>
      <w:r w:rsidRPr="00E2165D">
        <w:rPr>
          <w:rFonts w:ascii="Verdana" w:eastAsia="Calibri" w:hAnsi="Verdana" w:cs="Arial"/>
          <w:sz w:val="22"/>
          <w:szCs w:val="22"/>
          <w:lang w:val="x-none" w:eastAsia="en-US"/>
        </w:rPr>
        <w:t>In arriving at its recommendations the Panel has taken into account the latest reported CPI figure available to it, published by the O</w:t>
      </w:r>
      <w:r w:rsidR="006408D3">
        <w:rPr>
          <w:rFonts w:ascii="Verdana" w:eastAsia="Calibri" w:hAnsi="Verdana" w:cs="Arial"/>
          <w:sz w:val="22"/>
          <w:szCs w:val="22"/>
          <w:lang w:val="x-none" w:eastAsia="en-US"/>
        </w:rPr>
        <w:t xml:space="preserve">ffice for National Statistics. </w:t>
      </w:r>
      <w:r w:rsidRPr="00E2165D">
        <w:rPr>
          <w:rFonts w:ascii="Verdana" w:eastAsia="Calibri" w:hAnsi="Verdana" w:cs="Arial"/>
          <w:sz w:val="22"/>
          <w:szCs w:val="22"/>
          <w:lang w:eastAsia="en-US"/>
        </w:rPr>
        <w:t xml:space="preserve">This was </w:t>
      </w:r>
      <w:r w:rsidR="000D621A">
        <w:rPr>
          <w:rFonts w:ascii="Verdana" w:eastAsia="Calibri" w:hAnsi="Verdana" w:cs="Arial"/>
          <w:sz w:val="22"/>
          <w:szCs w:val="22"/>
          <w:lang w:eastAsia="en-US"/>
        </w:rPr>
        <w:t>0.9</w:t>
      </w:r>
      <w:r w:rsidRPr="00E2165D">
        <w:rPr>
          <w:rFonts w:ascii="Verdana" w:eastAsia="Calibri" w:hAnsi="Verdana" w:cs="Arial"/>
          <w:sz w:val="22"/>
          <w:szCs w:val="22"/>
          <w:lang w:eastAsia="en-US"/>
        </w:rPr>
        <w:t xml:space="preserve">% </w:t>
      </w:r>
      <w:r w:rsidRPr="000D621A">
        <w:rPr>
          <w:rFonts w:ascii="Verdana" w:eastAsia="Calibri" w:hAnsi="Verdana" w:cs="Arial"/>
          <w:sz w:val="22"/>
          <w:szCs w:val="22"/>
          <w:lang w:eastAsia="en-US"/>
        </w:rPr>
        <w:t xml:space="preserve">in </w:t>
      </w:r>
      <w:r w:rsidR="000D621A">
        <w:rPr>
          <w:rFonts w:ascii="Verdana" w:eastAsia="Calibri" w:hAnsi="Verdana" w:cs="Arial"/>
          <w:sz w:val="22"/>
          <w:szCs w:val="22"/>
          <w:lang w:eastAsia="en-US"/>
        </w:rPr>
        <w:t>Novem</w:t>
      </w:r>
      <w:r w:rsidRPr="000D621A">
        <w:rPr>
          <w:rFonts w:ascii="Verdana" w:eastAsia="Calibri" w:hAnsi="Verdana" w:cs="Arial"/>
          <w:sz w:val="22"/>
          <w:szCs w:val="22"/>
          <w:lang w:eastAsia="en-US"/>
        </w:rPr>
        <w:t xml:space="preserve">ber </w:t>
      </w:r>
      <w:r w:rsidRPr="00E2165D">
        <w:rPr>
          <w:rFonts w:ascii="Verdana" w:eastAsia="Calibri" w:hAnsi="Verdana" w:cs="Arial"/>
          <w:sz w:val="22"/>
          <w:szCs w:val="22"/>
          <w:lang w:eastAsia="en-US"/>
        </w:rPr>
        <w:t xml:space="preserve">2020. </w:t>
      </w:r>
    </w:p>
    <w:p w14:paraId="4DE3961D" w14:textId="77777777" w:rsidR="00E2165D" w:rsidRPr="00E2165D" w:rsidRDefault="00E2165D" w:rsidP="00E2165D">
      <w:pPr>
        <w:rPr>
          <w:rFonts w:ascii="Verdana" w:eastAsia="Calibri" w:hAnsi="Verdana" w:cs="Arial"/>
          <w:sz w:val="22"/>
          <w:szCs w:val="22"/>
          <w:lang w:eastAsia="en-US"/>
        </w:rPr>
      </w:pPr>
    </w:p>
    <w:p w14:paraId="2F02C774" w14:textId="77777777" w:rsidR="00E2165D" w:rsidRPr="00E2165D" w:rsidRDefault="00E2165D" w:rsidP="006C6FA7">
      <w:pPr>
        <w:jc w:val="both"/>
        <w:rPr>
          <w:rFonts w:ascii="Verdana" w:eastAsia="Calibri" w:hAnsi="Verdana" w:cs="Arial"/>
          <w:sz w:val="22"/>
          <w:szCs w:val="22"/>
          <w:u w:val="single"/>
          <w:lang w:eastAsia="en-US"/>
        </w:rPr>
      </w:pPr>
      <w:r w:rsidRPr="00E2165D">
        <w:rPr>
          <w:rFonts w:ascii="Verdana" w:eastAsia="Calibri" w:hAnsi="Verdana" w:cs="Arial"/>
          <w:sz w:val="22"/>
          <w:szCs w:val="22"/>
          <w:u w:val="single"/>
          <w:lang w:eastAsia="en-US"/>
        </w:rPr>
        <w:t>Local Government Pay Award</w:t>
      </w:r>
    </w:p>
    <w:p w14:paraId="35373C12" w14:textId="77777777" w:rsidR="00BC5310" w:rsidRDefault="00BC5310" w:rsidP="00E2165D">
      <w:pPr>
        <w:tabs>
          <w:tab w:val="left" w:pos="580"/>
        </w:tabs>
        <w:rPr>
          <w:rFonts w:ascii="Verdana" w:eastAsia="Calibri" w:hAnsi="Verdana" w:cs="Arial"/>
          <w:sz w:val="22"/>
          <w:szCs w:val="22"/>
          <w:u w:val="single"/>
          <w:lang w:eastAsia="en-US"/>
        </w:rPr>
      </w:pPr>
    </w:p>
    <w:p w14:paraId="3C9B3EEE" w14:textId="51EC7B5C" w:rsidR="00C54F6C" w:rsidRDefault="00E2165D" w:rsidP="00257445">
      <w:pPr>
        <w:tabs>
          <w:tab w:val="left" w:pos="580"/>
        </w:tabs>
        <w:rPr>
          <w:rFonts w:ascii="Verdana" w:hAnsi="Verdana" w:cs="Arial"/>
          <w:b/>
          <w:bCs/>
          <w:sz w:val="22"/>
          <w:szCs w:val="22"/>
        </w:rPr>
      </w:pPr>
      <w:r w:rsidRPr="006408D3">
        <w:rPr>
          <w:rFonts w:ascii="Verdana" w:hAnsi="Verdana" w:cs="Arial"/>
          <w:sz w:val="22"/>
          <w:szCs w:val="22"/>
        </w:rPr>
        <w:t>The Panel was mindful of the latest Local Government pay award implemented from 1</w:t>
      </w:r>
      <w:r w:rsidRPr="006408D3">
        <w:rPr>
          <w:rFonts w:ascii="Verdana" w:hAnsi="Verdana" w:cs="Arial"/>
          <w:sz w:val="22"/>
          <w:szCs w:val="22"/>
          <w:vertAlign w:val="superscript"/>
        </w:rPr>
        <w:t>st</w:t>
      </w:r>
      <w:r w:rsidRPr="006408D3">
        <w:rPr>
          <w:rFonts w:ascii="Verdana" w:hAnsi="Verdana" w:cs="Arial"/>
          <w:sz w:val="22"/>
          <w:szCs w:val="22"/>
        </w:rPr>
        <w:t xml:space="preserve"> April 2020. For the majority of Local Government employees this resulted in a pay increase of 2.75</w:t>
      </w:r>
      <w:r w:rsidR="006408D3">
        <w:rPr>
          <w:rFonts w:ascii="Verdana" w:hAnsi="Verdana" w:cs="Arial"/>
          <w:sz w:val="22"/>
          <w:szCs w:val="22"/>
        </w:rPr>
        <w:t>%</w:t>
      </w:r>
    </w:p>
    <w:sectPr w:rsidR="00C54F6C" w:rsidSect="00D2218D">
      <w:headerReference w:type="even" r:id="rId13"/>
      <w:headerReference w:type="default" r:id="rId14"/>
      <w:footerReference w:type="default" r:id="rId15"/>
      <w:headerReference w:type="first" r:id="rId16"/>
      <w:pgSz w:w="11906" w:h="16838" w:code="9"/>
      <w:pgMar w:top="1440" w:right="1132" w:bottom="1440"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CEA91" w14:textId="77777777" w:rsidR="0040623A" w:rsidRDefault="0040623A">
      <w:r>
        <w:separator/>
      </w:r>
    </w:p>
  </w:endnote>
  <w:endnote w:type="continuationSeparator" w:id="0">
    <w:p w14:paraId="30BAB53A" w14:textId="77777777" w:rsidR="0040623A" w:rsidRDefault="0040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EE14D" w14:textId="77777777" w:rsidR="00547861" w:rsidRDefault="00547861" w:rsidP="00387C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9605C3" w14:textId="77777777" w:rsidR="00547861" w:rsidRDefault="00547861" w:rsidP="00776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5653E" w14:textId="77777777" w:rsidR="00547861" w:rsidRPr="00387C0A" w:rsidRDefault="00547861" w:rsidP="009A3047">
    <w:pPr>
      <w:pStyle w:val="Footer"/>
      <w:framePr w:wrap="around" w:vAnchor="text" w:hAnchor="margin" w:xAlign="center" w:y="1"/>
      <w:rPr>
        <w:rStyle w:val="PageNumber"/>
        <w:rFonts w:ascii="Arial" w:hAnsi="Arial" w:cs="Arial"/>
        <w:sz w:val="22"/>
        <w:szCs w:val="22"/>
      </w:rPr>
    </w:pPr>
    <w:r w:rsidRPr="00387C0A">
      <w:rPr>
        <w:rStyle w:val="PageNumber"/>
      </w:rPr>
      <w:fldChar w:fldCharType="begin"/>
    </w:r>
    <w:r>
      <w:rPr>
        <w:rStyle w:val="PageNumber"/>
      </w:rPr>
      <w:instrText xml:space="preserve">PAGE  </w:instrText>
    </w:r>
    <w:r w:rsidRPr="00387C0A">
      <w:rPr>
        <w:rStyle w:val="PageNumber"/>
      </w:rPr>
      <w:fldChar w:fldCharType="separate"/>
    </w:r>
    <w:r w:rsidR="007D0CA6">
      <w:rPr>
        <w:rStyle w:val="PageNumber"/>
        <w:noProof/>
      </w:rPr>
      <w:t>11</w:t>
    </w:r>
    <w:r w:rsidRPr="00387C0A">
      <w:rPr>
        <w:rStyle w:val="PageNumber"/>
        <w:rFonts w:ascii="Arial" w:hAnsi="Arial" w:cs="Arial"/>
        <w:sz w:val="22"/>
        <w:szCs w:val="22"/>
      </w:rPr>
      <w:fldChar w:fldCharType="end"/>
    </w:r>
  </w:p>
  <w:p w14:paraId="5C29CFD1" w14:textId="77777777" w:rsidR="00547861" w:rsidRPr="009B06CF" w:rsidRDefault="00547861" w:rsidP="004D5681">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78A6A" w14:textId="77777777" w:rsidR="0040623A" w:rsidRDefault="0040623A">
      <w:r>
        <w:separator/>
      </w:r>
    </w:p>
  </w:footnote>
  <w:footnote w:type="continuationSeparator" w:id="0">
    <w:p w14:paraId="06E5181B" w14:textId="77777777" w:rsidR="0040623A" w:rsidRDefault="0040623A">
      <w:r>
        <w:continuationSeparator/>
      </w:r>
    </w:p>
  </w:footnote>
  <w:footnote w:id="1">
    <w:p w14:paraId="332E64BA" w14:textId="40434A85" w:rsidR="00547861" w:rsidRPr="004057FF" w:rsidRDefault="00547861">
      <w:pPr>
        <w:pStyle w:val="FootnoteText"/>
        <w:rPr>
          <w:rFonts w:ascii="Arial" w:hAnsi="Arial" w:cs="Arial"/>
          <w:lang w:val="en-GB"/>
        </w:rPr>
      </w:pPr>
      <w:r>
        <w:rPr>
          <w:rStyle w:val="FootnoteReference"/>
        </w:rPr>
        <w:footnoteRef/>
      </w:r>
      <w:r>
        <w:rPr>
          <w:rFonts w:ascii="Arial" w:hAnsi="Arial" w:cs="Arial"/>
          <w:lang w:val="en-GB"/>
        </w:rPr>
        <w:t>ONS population figures mid 2019. Totals for Basic and Special Responsibility allowances paid are as published by each authority for the 201</w:t>
      </w:r>
      <w:r w:rsidR="00B71E0B">
        <w:rPr>
          <w:rFonts w:ascii="Arial" w:hAnsi="Arial" w:cs="Arial"/>
          <w:lang w:val="en-GB"/>
        </w:rPr>
        <w:t>9</w:t>
      </w:r>
      <w:r>
        <w:rPr>
          <w:rFonts w:ascii="Arial" w:hAnsi="Arial" w:cs="Arial"/>
          <w:lang w:val="en-GB"/>
        </w:rPr>
        <w:t>-</w:t>
      </w:r>
      <w:r w:rsidR="00B71E0B">
        <w:rPr>
          <w:rFonts w:ascii="Arial" w:hAnsi="Arial" w:cs="Arial"/>
          <w:lang w:val="en-GB"/>
        </w:rPr>
        <w:t>20</w:t>
      </w:r>
      <w:r>
        <w:rPr>
          <w:rFonts w:ascii="Arial" w:hAnsi="Arial" w:cs="Arial"/>
          <w:lang w:val="en-GB"/>
        </w:rPr>
        <w:t xml:space="preserve"> financial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8E61" w14:textId="77777777" w:rsidR="00547861" w:rsidRDefault="005252E3">
    <w:pPr>
      <w:pStyle w:val="Header"/>
    </w:pPr>
    <w:r>
      <w:rPr>
        <w:noProof/>
      </w:rPr>
      <w:pict w14:anchorId="1D6D7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18.2pt;height:167.25pt;rotation:315;z-index:-251658240;mso-wrap-edited:f;mso-width-percent:0;mso-height-percent:0;mso-position-horizontal:center;mso-position-horizontal-relative:margin;mso-position-vertical:center;mso-position-vertical-relative:margin;mso-width-percent:0;mso-height-percent:0" wrapcoords="21329 1453 14245 1453 14168 2809 14206 3293 12929 3390 11729 1356 11226 1453 11071 1550 11032 1937 10877 3778 10839 3971 10684 5134 10606 5618 10490 6780 8206 1937 7587 775 7316 1453 5265 1453 5187 4940 3174 1937 2826 1550 2129 1259 2013 1453 542 1453 503 16757 619 17048 2168 17144 2942 16854 3484 15982 3755 15013 3794 14529 4181 15498 5574 17338 5729 17144 5768 16370 5768 10752 7394 14820 8942 17726 9174 17144 10065 17144 10142 15691 10219 15207 10297 14335 10374 13464 10800 12398 11768 14820 13394 17629 13587 17144 14439 17048 14710 17338 14826 16951 14865 11526 15097 9977 15948 9880 16684 11720 19548 17338 19665 17048 19858 17144 19858 16854 19897 4456 20361 3390 21406 3293 21445 1647 21329 1453"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28DA8" w14:textId="77777777" w:rsidR="00547861" w:rsidRDefault="005252E3">
    <w:pPr>
      <w:pStyle w:val="Header"/>
    </w:pPr>
    <w:r>
      <w:rPr>
        <w:noProof/>
      </w:rPr>
      <w:pict w14:anchorId="0A95E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18.2pt;height:167.25pt;rotation:315;z-index:-251659264;mso-wrap-edited:f;mso-width-percent:0;mso-height-percent:0;mso-position-horizontal:center;mso-position-horizontal-relative:margin;mso-position-vertical:center;mso-position-vertical-relative:margin;mso-width-percent:0;mso-height-percent:0" wrapcoords="21329 1453 14245 1453 14168 2809 14206 3293 12929 3390 11729 1356 11226 1453 11071 1550 11032 1937 10877 3778 10839 3971 10684 5134 10606 5618 10490 6780 8206 1937 7587 775 7316 1453 5265 1453 5187 4940 3174 1937 2826 1550 2129 1259 2013 1453 542 1453 503 16757 619 17048 2168 17144 2942 16854 3484 15982 3755 15013 3794 14529 4181 15498 5574 17338 5729 17144 5768 16370 5768 10752 7394 14820 8942 17726 9174 17144 10065 17144 10142 15691 10219 15207 10297 14335 10374 13464 10800 12398 11768 14820 13394 17629 13587 17144 14439 17048 14710 17338 14826 16951 14865 11526 15097 9977 15948 9880 16684 11720 19548 17338 19665 17048 19858 17144 19858 16854 19897 4456 20361 3390 21406 3293 21445 1647 21329 1453"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1460" w14:textId="77777777" w:rsidR="00547861" w:rsidRDefault="005478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8AED8" w14:textId="77777777" w:rsidR="00547861" w:rsidRPr="000415A5" w:rsidRDefault="00547861" w:rsidP="000415A5">
    <w:pPr>
      <w:pStyle w:val="Header"/>
      <w:rPr>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B1FFC" w14:textId="77777777" w:rsidR="00547861" w:rsidRDefault="00547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09AC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2E634F"/>
    <w:multiLevelType w:val="hybridMultilevel"/>
    <w:tmpl w:val="2894254E"/>
    <w:lvl w:ilvl="0" w:tplc="97F88956">
      <w:start w:val="1"/>
      <w:numFmt w:val="lowerLetter"/>
      <w:lvlText w:val="(%1)"/>
      <w:lvlJc w:val="left"/>
      <w:pPr>
        <w:ind w:left="1080" w:hanging="360"/>
      </w:pPr>
      <w:rPr>
        <w:rFonts w:ascii="Arial" w:eastAsia="Times New Roman"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8C0821"/>
    <w:multiLevelType w:val="hybridMultilevel"/>
    <w:tmpl w:val="7D3609F4"/>
    <w:lvl w:ilvl="0" w:tplc="59C4189C">
      <w:start w:val="1"/>
      <w:numFmt w:val="lowerRoman"/>
      <w:lvlText w:val="(%1)"/>
      <w:lvlJc w:val="right"/>
      <w:pPr>
        <w:tabs>
          <w:tab w:val="num" w:pos="720"/>
        </w:tabs>
        <w:ind w:left="720" w:hanging="360"/>
      </w:pPr>
      <w:rPr>
        <w:rFonts w:cs="Times New Roman" w:hint="default"/>
        <w:b/>
        <w:bCs/>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9EA1DDB"/>
    <w:multiLevelType w:val="hybridMultilevel"/>
    <w:tmpl w:val="FF782620"/>
    <w:lvl w:ilvl="0" w:tplc="59C4189C">
      <w:start w:val="1"/>
      <w:numFmt w:val="lowerRoman"/>
      <w:lvlText w:val="(%1)"/>
      <w:lvlJc w:val="right"/>
      <w:pPr>
        <w:tabs>
          <w:tab w:val="num" w:pos="720"/>
        </w:tabs>
        <w:ind w:left="720" w:hanging="360"/>
      </w:pPr>
      <w:rPr>
        <w:rFonts w:cs="Times New Roman" w:hint="default"/>
        <w:b/>
        <w:bCs/>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43135D"/>
    <w:multiLevelType w:val="hybridMultilevel"/>
    <w:tmpl w:val="1E5C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F36508"/>
    <w:multiLevelType w:val="hybridMultilevel"/>
    <w:tmpl w:val="4A086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C3213D"/>
    <w:multiLevelType w:val="hybridMultilevel"/>
    <w:tmpl w:val="A8EC05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555014"/>
    <w:multiLevelType w:val="hybridMultilevel"/>
    <w:tmpl w:val="CF9C19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494A45"/>
    <w:multiLevelType w:val="hybridMultilevel"/>
    <w:tmpl w:val="C7C684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6576AF"/>
    <w:multiLevelType w:val="hybridMultilevel"/>
    <w:tmpl w:val="CC043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04199A"/>
    <w:multiLevelType w:val="hybridMultilevel"/>
    <w:tmpl w:val="B888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D6663"/>
    <w:multiLevelType w:val="hybridMultilevel"/>
    <w:tmpl w:val="533C9A2C"/>
    <w:lvl w:ilvl="0" w:tplc="0742CF52">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A0A05FE"/>
    <w:multiLevelType w:val="hybridMultilevel"/>
    <w:tmpl w:val="3B687702"/>
    <w:lvl w:ilvl="0" w:tplc="04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B77C9E"/>
    <w:multiLevelType w:val="hybridMultilevel"/>
    <w:tmpl w:val="201ACCAA"/>
    <w:lvl w:ilvl="0" w:tplc="04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EE47DC"/>
    <w:multiLevelType w:val="hybridMultilevel"/>
    <w:tmpl w:val="6344A318"/>
    <w:lvl w:ilvl="0" w:tplc="AC689B60">
      <w:start w:val="1"/>
      <w:numFmt w:val="decimal"/>
      <w:lvlText w:val="(%1)"/>
      <w:lvlJc w:val="left"/>
      <w:pPr>
        <w:tabs>
          <w:tab w:val="num" w:pos="1080"/>
        </w:tabs>
        <w:ind w:left="1080" w:hanging="360"/>
      </w:pPr>
      <w:rPr>
        <w:rFonts w:hint="default"/>
      </w:rPr>
    </w:lvl>
    <w:lvl w:ilvl="1" w:tplc="5A76BBE4">
      <w:start w:val="1"/>
      <w:numFmt w:val="decimal"/>
      <w:lvlText w:val="(%2)"/>
      <w:lvlJc w:val="left"/>
      <w:pPr>
        <w:tabs>
          <w:tab w:val="num" w:pos="1669"/>
        </w:tabs>
        <w:ind w:left="1669" w:hanging="360"/>
      </w:pPr>
      <w:rPr>
        <w:rFonts w:ascii="Arial" w:eastAsia="Times New Roman" w:hAnsi="Arial" w:cs="Arial" w:hint="default"/>
        <w:b w:val="0"/>
        <w:i w:val="0"/>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73AC4C0B"/>
    <w:multiLevelType w:val="hybridMultilevel"/>
    <w:tmpl w:val="7D3609F4"/>
    <w:lvl w:ilvl="0" w:tplc="59C4189C">
      <w:start w:val="1"/>
      <w:numFmt w:val="lowerRoman"/>
      <w:lvlText w:val="(%1)"/>
      <w:lvlJc w:val="right"/>
      <w:pPr>
        <w:tabs>
          <w:tab w:val="num" w:pos="720"/>
        </w:tabs>
        <w:ind w:left="720" w:hanging="360"/>
      </w:pPr>
      <w:rPr>
        <w:rFonts w:cs="Times New Roman" w:hint="default"/>
        <w:b/>
        <w:bCs/>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9BB538C"/>
    <w:multiLevelType w:val="hybridMultilevel"/>
    <w:tmpl w:val="E6E43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5E78B3"/>
    <w:multiLevelType w:val="hybridMultilevel"/>
    <w:tmpl w:val="A086CD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D255676"/>
    <w:multiLevelType w:val="hybridMultilevel"/>
    <w:tmpl w:val="32182D6C"/>
    <w:lvl w:ilvl="0" w:tplc="DDACBB2C">
      <w:start w:val="1"/>
      <w:numFmt w:val="bullet"/>
      <w:lvlText w:val=""/>
      <w:lvlJc w:val="left"/>
      <w:pPr>
        <w:tabs>
          <w:tab w:val="num" w:pos="284"/>
        </w:tabs>
        <w:ind w:left="284" w:hanging="28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8"/>
  </w:num>
  <w:num w:numId="4">
    <w:abstractNumId w:val="5"/>
  </w:num>
  <w:num w:numId="5">
    <w:abstractNumId w:val="15"/>
  </w:num>
  <w:num w:numId="6">
    <w:abstractNumId w:val="4"/>
  </w:num>
  <w:num w:numId="7">
    <w:abstractNumId w:val="3"/>
  </w:num>
  <w:num w:numId="8">
    <w:abstractNumId w:val="7"/>
  </w:num>
  <w:num w:numId="9">
    <w:abstractNumId w:val="11"/>
  </w:num>
  <w:num w:numId="10">
    <w:abstractNumId w:val="14"/>
  </w:num>
  <w:num w:numId="11">
    <w:abstractNumId w:val="10"/>
  </w:num>
  <w:num w:numId="12">
    <w:abstractNumId w:val="1"/>
  </w:num>
  <w:num w:numId="13">
    <w:abstractNumId w:val="6"/>
  </w:num>
  <w:num w:numId="14">
    <w:abstractNumId w:val="12"/>
  </w:num>
  <w:num w:numId="15">
    <w:abstractNumId w:val="13"/>
  </w:num>
  <w:num w:numId="16">
    <w:abstractNumId w:val="9"/>
  </w:num>
  <w:num w:numId="17">
    <w:abstractNumId w:val="16"/>
  </w:num>
  <w:num w:numId="18">
    <w:abstractNumId w:val="0"/>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0B"/>
    <w:rsid w:val="00000D63"/>
    <w:rsid w:val="0000133D"/>
    <w:rsid w:val="000018AF"/>
    <w:rsid w:val="00001C82"/>
    <w:rsid w:val="000024B0"/>
    <w:rsid w:val="00002BAA"/>
    <w:rsid w:val="0000327D"/>
    <w:rsid w:val="00005D63"/>
    <w:rsid w:val="000070D4"/>
    <w:rsid w:val="000073A2"/>
    <w:rsid w:val="0001026D"/>
    <w:rsid w:val="000106D1"/>
    <w:rsid w:val="00010B64"/>
    <w:rsid w:val="00011605"/>
    <w:rsid w:val="00011969"/>
    <w:rsid w:val="00011E60"/>
    <w:rsid w:val="000142DC"/>
    <w:rsid w:val="00014488"/>
    <w:rsid w:val="000158C5"/>
    <w:rsid w:val="00016F11"/>
    <w:rsid w:val="00021FA0"/>
    <w:rsid w:val="000238EF"/>
    <w:rsid w:val="00023C05"/>
    <w:rsid w:val="000248AF"/>
    <w:rsid w:val="00026888"/>
    <w:rsid w:val="00026B4F"/>
    <w:rsid w:val="00027C68"/>
    <w:rsid w:val="00030675"/>
    <w:rsid w:val="00030732"/>
    <w:rsid w:val="0003156B"/>
    <w:rsid w:val="0003179D"/>
    <w:rsid w:val="00034975"/>
    <w:rsid w:val="000358CF"/>
    <w:rsid w:val="00035C6E"/>
    <w:rsid w:val="00037D0C"/>
    <w:rsid w:val="00040524"/>
    <w:rsid w:val="000415A5"/>
    <w:rsid w:val="00042170"/>
    <w:rsid w:val="00043B6F"/>
    <w:rsid w:val="00043D95"/>
    <w:rsid w:val="00045086"/>
    <w:rsid w:val="00046CE9"/>
    <w:rsid w:val="00047155"/>
    <w:rsid w:val="00053C48"/>
    <w:rsid w:val="00054780"/>
    <w:rsid w:val="000548BD"/>
    <w:rsid w:val="00054A2B"/>
    <w:rsid w:val="00054FF3"/>
    <w:rsid w:val="000575F6"/>
    <w:rsid w:val="00062328"/>
    <w:rsid w:val="00063383"/>
    <w:rsid w:val="00067413"/>
    <w:rsid w:val="00067736"/>
    <w:rsid w:val="000679A3"/>
    <w:rsid w:val="000719FF"/>
    <w:rsid w:val="0007268C"/>
    <w:rsid w:val="0007325E"/>
    <w:rsid w:val="00075960"/>
    <w:rsid w:val="00077DB3"/>
    <w:rsid w:val="00080215"/>
    <w:rsid w:val="000821D9"/>
    <w:rsid w:val="00083AA7"/>
    <w:rsid w:val="00085A13"/>
    <w:rsid w:val="00086765"/>
    <w:rsid w:val="00087628"/>
    <w:rsid w:val="00095977"/>
    <w:rsid w:val="00095C7D"/>
    <w:rsid w:val="00095D2B"/>
    <w:rsid w:val="000965E5"/>
    <w:rsid w:val="00096D68"/>
    <w:rsid w:val="00097582"/>
    <w:rsid w:val="000A0472"/>
    <w:rsid w:val="000A113C"/>
    <w:rsid w:val="000A2166"/>
    <w:rsid w:val="000A4C08"/>
    <w:rsid w:val="000B4B0A"/>
    <w:rsid w:val="000B7D36"/>
    <w:rsid w:val="000C2380"/>
    <w:rsid w:val="000C264E"/>
    <w:rsid w:val="000C3C26"/>
    <w:rsid w:val="000C450A"/>
    <w:rsid w:val="000C5587"/>
    <w:rsid w:val="000C65EC"/>
    <w:rsid w:val="000C7E13"/>
    <w:rsid w:val="000D346D"/>
    <w:rsid w:val="000D4171"/>
    <w:rsid w:val="000D479D"/>
    <w:rsid w:val="000D4B48"/>
    <w:rsid w:val="000D56FC"/>
    <w:rsid w:val="000D621A"/>
    <w:rsid w:val="000D6353"/>
    <w:rsid w:val="000D6460"/>
    <w:rsid w:val="000D753C"/>
    <w:rsid w:val="000E085C"/>
    <w:rsid w:val="000E42CC"/>
    <w:rsid w:val="000E5151"/>
    <w:rsid w:val="000E631C"/>
    <w:rsid w:val="000F19AC"/>
    <w:rsid w:val="000F1DA5"/>
    <w:rsid w:val="000F378D"/>
    <w:rsid w:val="000F3BFE"/>
    <w:rsid w:val="000F44F0"/>
    <w:rsid w:val="000F5141"/>
    <w:rsid w:val="00100265"/>
    <w:rsid w:val="00100978"/>
    <w:rsid w:val="00101316"/>
    <w:rsid w:val="001019C9"/>
    <w:rsid w:val="00104434"/>
    <w:rsid w:val="0010683F"/>
    <w:rsid w:val="00110BF2"/>
    <w:rsid w:val="0011187F"/>
    <w:rsid w:val="0011270D"/>
    <w:rsid w:val="00114EB8"/>
    <w:rsid w:val="00115BE0"/>
    <w:rsid w:val="00116462"/>
    <w:rsid w:val="00116E58"/>
    <w:rsid w:val="0012195D"/>
    <w:rsid w:val="00121ECE"/>
    <w:rsid w:val="00121F76"/>
    <w:rsid w:val="00123E2A"/>
    <w:rsid w:val="00124482"/>
    <w:rsid w:val="00124730"/>
    <w:rsid w:val="00126066"/>
    <w:rsid w:val="0013372D"/>
    <w:rsid w:val="001344E5"/>
    <w:rsid w:val="00134B93"/>
    <w:rsid w:val="0014345C"/>
    <w:rsid w:val="0014782B"/>
    <w:rsid w:val="00147BFC"/>
    <w:rsid w:val="00147CE9"/>
    <w:rsid w:val="00152C5A"/>
    <w:rsid w:val="00152C98"/>
    <w:rsid w:val="00153039"/>
    <w:rsid w:val="00154963"/>
    <w:rsid w:val="0016217A"/>
    <w:rsid w:val="00164490"/>
    <w:rsid w:val="001652BD"/>
    <w:rsid w:val="001679C7"/>
    <w:rsid w:val="0017233B"/>
    <w:rsid w:val="001752C2"/>
    <w:rsid w:val="00177AC1"/>
    <w:rsid w:val="001825A9"/>
    <w:rsid w:val="0018362A"/>
    <w:rsid w:val="0018585B"/>
    <w:rsid w:val="001877E2"/>
    <w:rsid w:val="00190309"/>
    <w:rsid w:val="00191C61"/>
    <w:rsid w:val="00193431"/>
    <w:rsid w:val="00194A0A"/>
    <w:rsid w:val="00194B7D"/>
    <w:rsid w:val="001A07CA"/>
    <w:rsid w:val="001A08DF"/>
    <w:rsid w:val="001A361E"/>
    <w:rsid w:val="001A40BD"/>
    <w:rsid w:val="001A5F06"/>
    <w:rsid w:val="001B0304"/>
    <w:rsid w:val="001B1679"/>
    <w:rsid w:val="001B35A8"/>
    <w:rsid w:val="001B3807"/>
    <w:rsid w:val="001B482E"/>
    <w:rsid w:val="001B5848"/>
    <w:rsid w:val="001B5E07"/>
    <w:rsid w:val="001B6B42"/>
    <w:rsid w:val="001B77BF"/>
    <w:rsid w:val="001C1CAE"/>
    <w:rsid w:val="001C6179"/>
    <w:rsid w:val="001C6DB5"/>
    <w:rsid w:val="001C7F6E"/>
    <w:rsid w:val="001D1B61"/>
    <w:rsid w:val="001D1C7E"/>
    <w:rsid w:val="001D5581"/>
    <w:rsid w:val="001D657F"/>
    <w:rsid w:val="001D6646"/>
    <w:rsid w:val="001D7399"/>
    <w:rsid w:val="001E0366"/>
    <w:rsid w:val="001E162C"/>
    <w:rsid w:val="001E49E4"/>
    <w:rsid w:val="001E535C"/>
    <w:rsid w:val="001E6CFF"/>
    <w:rsid w:val="001E7684"/>
    <w:rsid w:val="001E7E96"/>
    <w:rsid w:val="001E7FDD"/>
    <w:rsid w:val="001F1237"/>
    <w:rsid w:val="001F12BC"/>
    <w:rsid w:val="001F1C7A"/>
    <w:rsid w:val="001F203B"/>
    <w:rsid w:val="001F452B"/>
    <w:rsid w:val="001F5834"/>
    <w:rsid w:val="001F7C42"/>
    <w:rsid w:val="0020165F"/>
    <w:rsid w:val="002027EA"/>
    <w:rsid w:val="00203B8B"/>
    <w:rsid w:val="00203D24"/>
    <w:rsid w:val="002042CA"/>
    <w:rsid w:val="00205680"/>
    <w:rsid w:val="00206F94"/>
    <w:rsid w:val="00207C4A"/>
    <w:rsid w:val="00213849"/>
    <w:rsid w:val="00214F2D"/>
    <w:rsid w:val="002209E0"/>
    <w:rsid w:val="0022393E"/>
    <w:rsid w:val="00224AFC"/>
    <w:rsid w:val="00225C0B"/>
    <w:rsid w:val="00227073"/>
    <w:rsid w:val="00227208"/>
    <w:rsid w:val="00230075"/>
    <w:rsid w:val="0023022F"/>
    <w:rsid w:val="00230BDE"/>
    <w:rsid w:val="00230D57"/>
    <w:rsid w:val="00231586"/>
    <w:rsid w:val="0023413F"/>
    <w:rsid w:val="002408D5"/>
    <w:rsid w:val="00243E1B"/>
    <w:rsid w:val="002454D6"/>
    <w:rsid w:val="0024574A"/>
    <w:rsid w:val="0024799C"/>
    <w:rsid w:val="00253C64"/>
    <w:rsid w:val="00254B7B"/>
    <w:rsid w:val="00257445"/>
    <w:rsid w:val="002577F1"/>
    <w:rsid w:val="0026034F"/>
    <w:rsid w:val="00260807"/>
    <w:rsid w:val="00262D92"/>
    <w:rsid w:val="00263751"/>
    <w:rsid w:val="0026580B"/>
    <w:rsid w:val="0026584D"/>
    <w:rsid w:val="00270460"/>
    <w:rsid w:val="0027105B"/>
    <w:rsid w:val="002775BD"/>
    <w:rsid w:val="002807E2"/>
    <w:rsid w:val="00280EFF"/>
    <w:rsid w:val="00282AED"/>
    <w:rsid w:val="0028469A"/>
    <w:rsid w:val="00284FB7"/>
    <w:rsid w:val="002850F7"/>
    <w:rsid w:val="00285333"/>
    <w:rsid w:val="00287DA3"/>
    <w:rsid w:val="00287E4B"/>
    <w:rsid w:val="00290AE4"/>
    <w:rsid w:val="00291BAF"/>
    <w:rsid w:val="00292BCA"/>
    <w:rsid w:val="002937E4"/>
    <w:rsid w:val="00296D53"/>
    <w:rsid w:val="002A1982"/>
    <w:rsid w:val="002A2C2B"/>
    <w:rsid w:val="002A6F1C"/>
    <w:rsid w:val="002A7292"/>
    <w:rsid w:val="002A7E88"/>
    <w:rsid w:val="002B0DEC"/>
    <w:rsid w:val="002B16CF"/>
    <w:rsid w:val="002B1A5F"/>
    <w:rsid w:val="002B33E8"/>
    <w:rsid w:val="002B3429"/>
    <w:rsid w:val="002B39B4"/>
    <w:rsid w:val="002C1F23"/>
    <w:rsid w:val="002C3600"/>
    <w:rsid w:val="002C51E1"/>
    <w:rsid w:val="002C70D1"/>
    <w:rsid w:val="002D1476"/>
    <w:rsid w:val="002D20A6"/>
    <w:rsid w:val="002D24A3"/>
    <w:rsid w:val="002D3986"/>
    <w:rsid w:val="002D5CBB"/>
    <w:rsid w:val="002D5D45"/>
    <w:rsid w:val="002D5D47"/>
    <w:rsid w:val="002D67E8"/>
    <w:rsid w:val="002D7209"/>
    <w:rsid w:val="002E023C"/>
    <w:rsid w:val="002E0799"/>
    <w:rsid w:val="002E19E5"/>
    <w:rsid w:val="002E2D72"/>
    <w:rsid w:val="002E48C5"/>
    <w:rsid w:val="002E5111"/>
    <w:rsid w:val="002E6D60"/>
    <w:rsid w:val="002F0002"/>
    <w:rsid w:val="002F16D9"/>
    <w:rsid w:val="002F18D4"/>
    <w:rsid w:val="002F4C65"/>
    <w:rsid w:val="002F4E8F"/>
    <w:rsid w:val="002F7075"/>
    <w:rsid w:val="002F7217"/>
    <w:rsid w:val="002F7821"/>
    <w:rsid w:val="002F7D48"/>
    <w:rsid w:val="003012E6"/>
    <w:rsid w:val="00302009"/>
    <w:rsid w:val="00303980"/>
    <w:rsid w:val="00303B22"/>
    <w:rsid w:val="0031113C"/>
    <w:rsid w:val="00311675"/>
    <w:rsid w:val="003122A8"/>
    <w:rsid w:val="003212FB"/>
    <w:rsid w:val="003219F5"/>
    <w:rsid w:val="00322106"/>
    <w:rsid w:val="00322791"/>
    <w:rsid w:val="0032331C"/>
    <w:rsid w:val="00324ECA"/>
    <w:rsid w:val="0033114A"/>
    <w:rsid w:val="003336E3"/>
    <w:rsid w:val="003357B3"/>
    <w:rsid w:val="0033631A"/>
    <w:rsid w:val="003367D0"/>
    <w:rsid w:val="00337AF2"/>
    <w:rsid w:val="00340DA8"/>
    <w:rsid w:val="0034199B"/>
    <w:rsid w:val="003432C8"/>
    <w:rsid w:val="00345DA7"/>
    <w:rsid w:val="00347923"/>
    <w:rsid w:val="003509FC"/>
    <w:rsid w:val="00350EF1"/>
    <w:rsid w:val="00351141"/>
    <w:rsid w:val="0035297E"/>
    <w:rsid w:val="00352D69"/>
    <w:rsid w:val="0035345D"/>
    <w:rsid w:val="003539E3"/>
    <w:rsid w:val="00353EAD"/>
    <w:rsid w:val="0035597F"/>
    <w:rsid w:val="00356153"/>
    <w:rsid w:val="00356C10"/>
    <w:rsid w:val="00356C71"/>
    <w:rsid w:val="003576E5"/>
    <w:rsid w:val="0036110E"/>
    <w:rsid w:val="0036135E"/>
    <w:rsid w:val="003645FA"/>
    <w:rsid w:val="00365C69"/>
    <w:rsid w:val="00366EDB"/>
    <w:rsid w:val="00367835"/>
    <w:rsid w:val="003722FE"/>
    <w:rsid w:val="00373A61"/>
    <w:rsid w:val="00375269"/>
    <w:rsid w:val="00376D99"/>
    <w:rsid w:val="00376FDD"/>
    <w:rsid w:val="003813BC"/>
    <w:rsid w:val="0038157D"/>
    <w:rsid w:val="0038289B"/>
    <w:rsid w:val="00382E0F"/>
    <w:rsid w:val="003834DD"/>
    <w:rsid w:val="00383C76"/>
    <w:rsid w:val="00384A0D"/>
    <w:rsid w:val="00384DCC"/>
    <w:rsid w:val="00385386"/>
    <w:rsid w:val="00386D3A"/>
    <w:rsid w:val="00387C0A"/>
    <w:rsid w:val="0039017D"/>
    <w:rsid w:val="0039033E"/>
    <w:rsid w:val="003904FD"/>
    <w:rsid w:val="003921AA"/>
    <w:rsid w:val="00392D7D"/>
    <w:rsid w:val="00393053"/>
    <w:rsid w:val="00393519"/>
    <w:rsid w:val="003939C6"/>
    <w:rsid w:val="00394910"/>
    <w:rsid w:val="00395D77"/>
    <w:rsid w:val="00396CB9"/>
    <w:rsid w:val="0039733F"/>
    <w:rsid w:val="003A124C"/>
    <w:rsid w:val="003A1DDC"/>
    <w:rsid w:val="003A29BC"/>
    <w:rsid w:val="003A4127"/>
    <w:rsid w:val="003A65DE"/>
    <w:rsid w:val="003A6801"/>
    <w:rsid w:val="003A6E39"/>
    <w:rsid w:val="003B0EA2"/>
    <w:rsid w:val="003B3510"/>
    <w:rsid w:val="003B5C2A"/>
    <w:rsid w:val="003B647F"/>
    <w:rsid w:val="003C23FA"/>
    <w:rsid w:val="003C493F"/>
    <w:rsid w:val="003C52B1"/>
    <w:rsid w:val="003C5A34"/>
    <w:rsid w:val="003C71B3"/>
    <w:rsid w:val="003C72C3"/>
    <w:rsid w:val="003C76DD"/>
    <w:rsid w:val="003C7B13"/>
    <w:rsid w:val="003D25E4"/>
    <w:rsid w:val="003D2CED"/>
    <w:rsid w:val="003E0B43"/>
    <w:rsid w:val="003E1058"/>
    <w:rsid w:val="003E2EF6"/>
    <w:rsid w:val="003E7434"/>
    <w:rsid w:val="003E79DB"/>
    <w:rsid w:val="003F1EAC"/>
    <w:rsid w:val="003F2277"/>
    <w:rsid w:val="003F2923"/>
    <w:rsid w:val="003F4501"/>
    <w:rsid w:val="003F4567"/>
    <w:rsid w:val="003F49F8"/>
    <w:rsid w:val="003F52C2"/>
    <w:rsid w:val="003F5DB3"/>
    <w:rsid w:val="0040033A"/>
    <w:rsid w:val="0040082C"/>
    <w:rsid w:val="0040430C"/>
    <w:rsid w:val="0040433D"/>
    <w:rsid w:val="00404ABF"/>
    <w:rsid w:val="004057FF"/>
    <w:rsid w:val="0040623A"/>
    <w:rsid w:val="00407DF3"/>
    <w:rsid w:val="004103ED"/>
    <w:rsid w:val="00410BAE"/>
    <w:rsid w:val="00411658"/>
    <w:rsid w:val="0041243D"/>
    <w:rsid w:val="004138F4"/>
    <w:rsid w:val="00413F00"/>
    <w:rsid w:val="0041422D"/>
    <w:rsid w:val="0041516D"/>
    <w:rsid w:val="00415816"/>
    <w:rsid w:val="00417350"/>
    <w:rsid w:val="00420C44"/>
    <w:rsid w:val="00422840"/>
    <w:rsid w:val="004233B6"/>
    <w:rsid w:val="0042433A"/>
    <w:rsid w:val="00424ADF"/>
    <w:rsid w:val="004271C7"/>
    <w:rsid w:val="00427689"/>
    <w:rsid w:val="00431681"/>
    <w:rsid w:val="0043385A"/>
    <w:rsid w:val="004342D8"/>
    <w:rsid w:val="00434E40"/>
    <w:rsid w:val="004358EE"/>
    <w:rsid w:val="0044020B"/>
    <w:rsid w:val="00440967"/>
    <w:rsid w:val="004413EF"/>
    <w:rsid w:val="004513F7"/>
    <w:rsid w:val="00455E0B"/>
    <w:rsid w:val="00457BDE"/>
    <w:rsid w:val="0046006B"/>
    <w:rsid w:val="004605FB"/>
    <w:rsid w:val="00460A16"/>
    <w:rsid w:val="00460B10"/>
    <w:rsid w:val="004613FD"/>
    <w:rsid w:val="0046211E"/>
    <w:rsid w:val="00462382"/>
    <w:rsid w:val="004668DA"/>
    <w:rsid w:val="00466E29"/>
    <w:rsid w:val="0046703E"/>
    <w:rsid w:val="004710A0"/>
    <w:rsid w:val="00473210"/>
    <w:rsid w:val="00473528"/>
    <w:rsid w:val="0047554A"/>
    <w:rsid w:val="00482CEF"/>
    <w:rsid w:val="004835E7"/>
    <w:rsid w:val="00483BA2"/>
    <w:rsid w:val="004845A8"/>
    <w:rsid w:val="00484D48"/>
    <w:rsid w:val="00487C57"/>
    <w:rsid w:val="00491835"/>
    <w:rsid w:val="0049195E"/>
    <w:rsid w:val="00492D61"/>
    <w:rsid w:val="0049486E"/>
    <w:rsid w:val="00496A70"/>
    <w:rsid w:val="004979FE"/>
    <w:rsid w:val="004A384B"/>
    <w:rsid w:val="004A413D"/>
    <w:rsid w:val="004A579D"/>
    <w:rsid w:val="004B00AD"/>
    <w:rsid w:val="004B3220"/>
    <w:rsid w:val="004B59AB"/>
    <w:rsid w:val="004B6DB4"/>
    <w:rsid w:val="004C01EB"/>
    <w:rsid w:val="004C05E0"/>
    <w:rsid w:val="004C555C"/>
    <w:rsid w:val="004C5F68"/>
    <w:rsid w:val="004C718A"/>
    <w:rsid w:val="004C72FD"/>
    <w:rsid w:val="004C7C45"/>
    <w:rsid w:val="004D01E1"/>
    <w:rsid w:val="004D05E1"/>
    <w:rsid w:val="004D0AE3"/>
    <w:rsid w:val="004D14BC"/>
    <w:rsid w:val="004D1519"/>
    <w:rsid w:val="004D1A30"/>
    <w:rsid w:val="004D1F3F"/>
    <w:rsid w:val="004D2D47"/>
    <w:rsid w:val="004D5553"/>
    <w:rsid w:val="004D5681"/>
    <w:rsid w:val="004E10C6"/>
    <w:rsid w:val="004E10F3"/>
    <w:rsid w:val="004E1473"/>
    <w:rsid w:val="004E2915"/>
    <w:rsid w:val="004E46F7"/>
    <w:rsid w:val="004E6C38"/>
    <w:rsid w:val="004E6F11"/>
    <w:rsid w:val="004F0231"/>
    <w:rsid w:val="004F0356"/>
    <w:rsid w:val="004F2D04"/>
    <w:rsid w:val="004F3948"/>
    <w:rsid w:val="004F3D0B"/>
    <w:rsid w:val="004F3E33"/>
    <w:rsid w:val="004F50BA"/>
    <w:rsid w:val="004F6BFC"/>
    <w:rsid w:val="005002F1"/>
    <w:rsid w:val="00501218"/>
    <w:rsid w:val="00501663"/>
    <w:rsid w:val="00503D4D"/>
    <w:rsid w:val="00504E36"/>
    <w:rsid w:val="005053FF"/>
    <w:rsid w:val="005074E5"/>
    <w:rsid w:val="00507CC3"/>
    <w:rsid w:val="005117FA"/>
    <w:rsid w:val="00511B06"/>
    <w:rsid w:val="0051562E"/>
    <w:rsid w:val="00515D24"/>
    <w:rsid w:val="00516FC2"/>
    <w:rsid w:val="0052221F"/>
    <w:rsid w:val="005252E3"/>
    <w:rsid w:val="00527B1E"/>
    <w:rsid w:val="0053014D"/>
    <w:rsid w:val="005309DB"/>
    <w:rsid w:val="00532FDD"/>
    <w:rsid w:val="005356B7"/>
    <w:rsid w:val="0053571A"/>
    <w:rsid w:val="00536048"/>
    <w:rsid w:val="0054132D"/>
    <w:rsid w:val="00543939"/>
    <w:rsid w:val="0054502F"/>
    <w:rsid w:val="00547861"/>
    <w:rsid w:val="00547B4E"/>
    <w:rsid w:val="00547DAB"/>
    <w:rsid w:val="00550101"/>
    <w:rsid w:val="005527D2"/>
    <w:rsid w:val="00553E44"/>
    <w:rsid w:val="005541A2"/>
    <w:rsid w:val="00555057"/>
    <w:rsid w:val="005550A3"/>
    <w:rsid w:val="00555BB7"/>
    <w:rsid w:val="0055651B"/>
    <w:rsid w:val="00560859"/>
    <w:rsid w:val="00562749"/>
    <w:rsid w:val="005662D0"/>
    <w:rsid w:val="0056791E"/>
    <w:rsid w:val="00567FE1"/>
    <w:rsid w:val="00570AA7"/>
    <w:rsid w:val="00571D2B"/>
    <w:rsid w:val="00573180"/>
    <w:rsid w:val="00574231"/>
    <w:rsid w:val="00574544"/>
    <w:rsid w:val="005748AA"/>
    <w:rsid w:val="005775D5"/>
    <w:rsid w:val="00582CAB"/>
    <w:rsid w:val="00593913"/>
    <w:rsid w:val="0059546F"/>
    <w:rsid w:val="00596D96"/>
    <w:rsid w:val="00597B93"/>
    <w:rsid w:val="00597E46"/>
    <w:rsid w:val="00597FCA"/>
    <w:rsid w:val="005A2148"/>
    <w:rsid w:val="005A3556"/>
    <w:rsid w:val="005A6E72"/>
    <w:rsid w:val="005A7062"/>
    <w:rsid w:val="005B19D5"/>
    <w:rsid w:val="005B1DB2"/>
    <w:rsid w:val="005B2276"/>
    <w:rsid w:val="005B3812"/>
    <w:rsid w:val="005B75D2"/>
    <w:rsid w:val="005C1590"/>
    <w:rsid w:val="005C15C6"/>
    <w:rsid w:val="005C3A40"/>
    <w:rsid w:val="005C56A4"/>
    <w:rsid w:val="005C766A"/>
    <w:rsid w:val="005D009F"/>
    <w:rsid w:val="005D50B8"/>
    <w:rsid w:val="005D5DAB"/>
    <w:rsid w:val="005D7A54"/>
    <w:rsid w:val="005E03C6"/>
    <w:rsid w:val="005E0A12"/>
    <w:rsid w:val="005E0AA5"/>
    <w:rsid w:val="005E45C9"/>
    <w:rsid w:val="005E6A15"/>
    <w:rsid w:val="005E6E19"/>
    <w:rsid w:val="005F1807"/>
    <w:rsid w:val="005F5082"/>
    <w:rsid w:val="00601A20"/>
    <w:rsid w:val="00603956"/>
    <w:rsid w:val="00603A91"/>
    <w:rsid w:val="00603F56"/>
    <w:rsid w:val="0060404F"/>
    <w:rsid w:val="006049BC"/>
    <w:rsid w:val="006059AE"/>
    <w:rsid w:val="0060610E"/>
    <w:rsid w:val="006066DF"/>
    <w:rsid w:val="0060728D"/>
    <w:rsid w:val="006072B0"/>
    <w:rsid w:val="00610C91"/>
    <w:rsid w:val="00612A07"/>
    <w:rsid w:val="00612A88"/>
    <w:rsid w:val="00613441"/>
    <w:rsid w:val="0061641E"/>
    <w:rsid w:val="006224C1"/>
    <w:rsid w:val="006229E2"/>
    <w:rsid w:val="00623463"/>
    <w:rsid w:val="00624E59"/>
    <w:rsid w:val="00626E0F"/>
    <w:rsid w:val="0063090A"/>
    <w:rsid w:val="006353BF"/>
    <w:rsid w:val="0063580A"/>
    <w:rsid w:val="00636729"/>
    <w:rsid w:val="006367AB"/>
    <w:rsid w:val="00636F3B"/>
    <w:rsid w:val="006408D3"/>
    <w:rsid w:val="00641284"/>
    <w:rsid w:val="0064156B"/>
    <w:rsid w:val="0064234D"/>
    <w:rsid w:val="006425FD"/>
    <w:rsid w:val="0064312B"/>
    <w:rsid w:val="00643896"/>
    <w:rsid w:val="00643901"/>
    <w:rsid w:val="00645142"/>
    <w:rsid w:val="006505F1"/>
    <w:rsid w:val="00650F73"/>
    <w:rsid w:val="0065260F"/>
    <w:rsid w:val="006556D1"/>
    <w:rsid w:val="00655D54"/>
    <w:rsid w:val="00655F06"/>
    <w:rsid w:val="00657631"/>
    <w:rsid w:val="0066046F"/>
    <w:rsid w:val="00661B76"/>
    <w:rsid w:val="00666DE6"/>
    <w:rsid w:val="00666E0B"/>
    <w:rsid w:val="006749F9"/>
    <w:rsid w:val="006768F1"/>
    <w:rsid w:val="00676E9B"/>
    <w:rsid w:val="0067702D"/>
    <w:rsid w:val="0067733C"/>
    <w:rsid w:val="00681BAF"/>
    <w:rsid w:val="00681E89"/>
    <w:rsid w:val="0068208E"/>
    <w:rsid w:val="0068285F"/>
    <w:rsid w:val="00683840"/>
    <w:rsid w:val="00683C42"/>
    <w:rsid w:val="00683CA5"/>
    <w:rsid w:val="006866CA"/>
    <w:rsid w:val="006908BD"/>
    <w:rsid w:val="006922A2"/>
    <w:rsid w:val="00692C5D"/>
    <w:rsid w:val="00694B1D"/>
    <w:rsid w:val="00697084"/>
    <w:rsid w:val="006A0125"/>
    <w:rsid w:val="006A1AE1"/>
    <w:rsid w:val="006A29D1"/>
    <w:rsid w:val="006A7936"/>
    <w:rsid w:val="006A7E6E"/>
    <w:rsid w:val="006A7ED0"/>
    <w:rsid w:val="006B0C66"/>
    <w:rsid w:val="006B1B04"/>
    <w:rsid w:val="006B34D6"/>
    <w:rsid w:val="006B47ED"/>
    <w:rsid w:val="006B4C85"/>
    <w:rsid w:val="006B5340"/>
    <w:rsid w:val="006B54AF"/>
    <w:rsid w:val="006B734F"/>
    <w:rsid w:val="006C1B68"/>
    <w:rsid w:val="006C22CC"/>
    <w:rsid w:val="006C2D54"/>
    <w:rsid w:val="006C3788"/>
    <w:rsid w:val="006C5750"/>
    <w:rsid w:val="006C57B2"/>
    <w:rsid w:val="006C5F5E"/>
    <w:rsid w:val="006C60AC"/>
    <w:rsid w:val="006C6FA7"/>
    <w:rsid w:val="006C777A"/>
    <w:rsid w:val="006D03AC"/>
    <w:rsid w:val="006D0AE3"/>
    <w:rsid w:val="006D2461"/>
    <w:rsid w:val="006D4355"/>
    <w:rsid w:val="006D6A70"/>
    <w:rsid w:val="006D73CA"/>
    <w:rsid w:val="006E0A54"/>
    <w:rsid w:val="006E11FF"/>
    <w:rsid w:val="006E3768"/>
    <w:rsid w:val="006E624E"/>
    <w:rsid w:val="006F03A3"/>
    <w:rsid w:val="006F2568"/>
    <w:rsid w:val="006F3869"/>
    <w:rsid w:val="006F7527"/>
    <w:rsid w:val="00700DBE"/>
    <w:rsid w:val="0070184A"/>
    <w:rsid w:val="00701A65"/>
    <w:rsid w:val="007028FC"/>
    <w:rsid w:val="007041BC"/>
    <w:rsid w:val="00704611"/>
    <w:rsid w:val="00704675"/>
    <w:rsid w:val="00704F42"/>
    <w:rsid w:val="00711A98"/>
    <w:rsid w:val="00711D58"/>
    <w:rsid w:val="007139D3"/>
    <w:rsid w:val="00714594"/>
    <w:rsid w:val="007153DE"/>
    <w:rsid w:val="00715627"/>
    <w:rsid w:val="007163C6"/>
    <w:rsid w:val="00717095"/>
    <w:rsid w:val="007173C3"/>
    <w:rsid w:val="007209B2"/>
    <w:rsid w:val="00720A69"/>
    <w:rsid w:val="0072131F"/>
    <w:rsid w:val="00721381"/>
    <w:rsid w:val="007233AF"/>
    <w:rsid w:val="007236B6"/>
    <w:rsid w:val="0072594B"/>
    <w:rsid w:val="00727B13"/>
    <w:rsid w:val="00727C67"/>
    <w:rsid w:val="007316E4"/>
    <w:rsid w:val="00731A95"/>
    <w:rsid w:val="00732F13"/>
    <w:rsid w:val="007347E9"/>
    <w:rsid w:val="007364A9"/>
    <w:rsid w:val="00740AFE"/>
    <w:rsid w:val="00740C29"/>
    <w:rsid w:val="00744DD2"/>
    <w:rsid w:val="0075152F"/>
    <w:rsid w:val="00753D36"/>
    <w:rsid w:val="00754659"/>
    <w:rsid w:val="00755079"/>
    <w:rsid w:val="00755C8D"/>
    <w:rsid w:val="00756742"/>
    <w:rsid w:val="00757971"/>
    <w:rsid w:val="00760711"/>
    <w:rsid w:val="00760762"/>
    <w:rsid w:val="00763305"/>
    <w:rsid w:val="0076352B"/>
    <w:rsid w:val="00763D66"/>
    <w:rsid w:val="00765194"/>
    <w:rsid w:val="00770515"/>
    <w:rsid w:val="007725E8"/>
    <w:rsid w:val="0077487B"/>
    <w:rsid w:val="007751F0"/>
    <w:rsid w:val="007762DA"/>
    <w:rsid w:val="007767C2"/>
    <w:rsid w:val="00782340"/>
    <w:rsid w:val="00783CA2"/>
    <w:rsid w:val="007843DE"/>
    <w:rsid w:val="00785AA7"/>
    <w:rsid w:val="00786502"/>
    <w:rsid w:val="00787EEA"/>
    <w:rsid w:val="00790280"/>
    <w:rsid w:val="007904E0"/>
    <w:rsid w:val="00792977"/>
    <w:rsid w:val="00792C16"/>
    <w:rsid w:val="007A1055"/>
    <w:rsid w:val="007A59AB"/>
    <w:rsid w:val="007A7981"/>
    <w:rsid w:val="007A7D43"/>
    <w:rsid w:val="007B0891"/>
    <w:rsid w:val="007B4DD7"/>
    <w:rsid w:val="007B56B7"/>
    <w:rsid w:val="007B5E91"/>
    <w:rsid w:val="007B5FA9"/>
    <w:rsid w:val="007C0776"/>
    <w:rsid w:val="007C15A8"/>
    <w:rsid w:val="007C209E"/>
    <w:rsid w:val="007C3410"/>
    <w:rsid w:val="007C36FC"/>
    <w:rsid w:val="007C4864"/>
    <w:rsid w:val="007C567C"/>
    <w:rsid w:val="007C6244"/>
    <w:rsid w:val="007D0BA6"/>
    <w:rsid w:val="007D0CA6"/>
    <w:rsid w:val="007D2424"/>
    <w:rsid w:val="007D6E97"/>
    <w:rsid w:val="007D71A2"/>
    <w:rsid w:val="007D7200"/>
    <w:rsid w:val="007D73F8"/>
    <w:rsid w:val="007D76F7"/>
    <w:rsid w:val="007E14A6"/>
    <w:rsid w:val="007E1CAE"/>
    <w:rsid w:val="007E1EDF"/>
    <w:rsid w:val="007E30BD"/>
    <w:rsid w:val="007F22D9"/>
    <w:rsid w:val="007F2809"/>
    <w:rsid w:val="007F4D05"/>
    <w:rsid w:val="007F615D"/>
    <w:rsid w:val="007F77CA"/>
    <w:rsid w:val="007F7E6E"/>
    <w:rsid w:val="00800B9C"/>
    <w:rsid w:val="00802037"/>
    <w:rsid w:val="00804DC9"/>
    <w:rsid w:val="0080537B"/>
    <w:rsid w:val="00805C34"/>
    <w:rsid w:val="00807BF5"/>
    <w:rsid w:val="00807C11"/>
    <w:rsid w:val="00812D98"/>
    <w:rsid w:val="008138E7"/>
    <w:rsid w:val="0081420C"/>
    <w:rsid w:val="008145B9"/>
    <w:rsid w:val="0081562F"/>
    <w:rsid w:val="00815E45"/>
    <w:rsid w:val="00815EF0"/>
    <w:rsid w:val="0081749D"/>
    <w:rsid w:val="008202E8"/>
    <w:rsid w:val="00820420"/>
    <w:rsid w:val="00821017"/>
    <w:rsid w:val="0082247A"/>
    <w:rsid w:val="00822E6E"/>
    <w:rsid w:val="00822F83"/>
    <w:rsid w:val="00823EC9"/>
    <w:rsid w:val="008244DA"/>
    <w:rsid w:val="00825358"/>
    <w:rsid w:val="0083033C"/>
    <w:rsid w:val="00830F67"/>
    <w:rsid w:val="008314EA"/>
    <w:rsid w:val="008321BD"/>
    <w:rsid w:val="0083490B"/>
    <w:rsid w:val="008352CF"/>
    <w:rsid w:val="00836749"/>
    <w:rsid w:val="00841B2B"/>
    <w:rsid w:val="008430A3"/>
    <w:rsid w:val="008432B7"/>
    <w:rsid w:val="0084427D"/>
    <w:rsid w:val="00844E8B"/>
    <w:rsid w:val="008466FF"/>
    <w:rsid w:val="00847D61"/>
    <w:rsid w:val="008503D4"/>
    <w:rsid w:val="0085094C"/>
    <w:rsid w:val="008509A8"/>
    <w:rsid w:val="00850A52"/>
    <w:rsid w:val="00852B3A"/>
    <w:rsid w:val="00853114"/>
    <w:rsid w:val="00853ED4"/>
    <w:rsid w:val="008545E6"/>
    <w:rsid w:val="008545F4"/>
    <w:rsid w:val="00856413"/>
    <w:rsid w:val="00857861"/>
    <w:rsid w:val="00861F15"/>
    <w:rsid w:val="00863DE5"/>
    <w:rsid w:val="0086586B"/>
    <w:rsid w:val="00865F69"/>
    <w:rsid w:val="0086691C"/>
    <w:rsid w:val="008678FE"/>
    <w:rsid w:val="008713F6"/>
    <w:rsid w:val="008715C3"/>
    <w:rsid w:val="00872793"/>
    <w:rsid w:val="00873350"/>
    <w:rsid w:val="008755EF"/>
    <w:rsid w:val="008761C1"/>
    <w:rsid w:val="00876F81"/>
    <w:rsid w:val="008778C3"/>
    <w:rsid w:val="0088296B"/>
    <w:rsid w:val="00882A1D"/>
    <w:rsid w:val="0088330E"/>
    <w:rsid w:val="00884004"/>
    <w:rsid w:val="00885972"/>
    <w:rsid w:val="00887243"/>
    <w:rsid w:val="0088726D"/>
    <w:rsid w:val="00887D10"/>
    <w:rsid w:val="00895030"/>
    <w:rsid w:val="00895112"/>
    <w:rsid w:val="00895598"/>
    <w:rsid w:val="008964A9"/>
    <w:rsid w:val="0089766B"/>
    <w:rsid w:val="00897776"/>
    <w:rsid w:val="008A1A8C"/>
    <w:rsid w:val="008A1DBD"/>
    <w:rsid w:val="008A2A09"/>
    <w:rsid w:val="008A32C5"/>
    <w:rsid w:val="008A5E58"/>
    <w:rsid w:val="008A66E5"/>
    <w:rsid w:val="008A6DC1"/>
    <w:rsid w:val="008B529F"/>
    <w:rsid w:val="008B586C"/>
    <w:rsid w:val="008B6168"/>
    <w:rsid w:val="008C0505"/>
    <w:rsid w:val="008C075D"/>
    <w:rsid w:val="008C39ED"/>
    <w:rsid w:val="008C58A4"/>
    <w:rsid w:val="008C6395"/>
    <w:rsid w:val="008C6435"/>
    <w:rsid w:val="008C7367"/>
    <w:rsid w:val="008D2BD6"/>
    <w:rsid w:val="008D5553"/>
    <w:rsid w:val="008D5864"/>
    <w:rsid w:val="008D5C2D"/>
    <w:rsid w:val="008D6309"/>
    <w:rsid w:val="008D770D"/>
    <w:rsid w:val="008E08C1"/>
    <w:rsid w:val="008E1332"/>
    <w:rsid w:val="008E14AC"/>
    <w:rsid w:val="008E1ED5"/>
    <w:rsid w:val="008E5821"/>
    <w:rsid w:val="008E7A92"/>
    <w:rsid w:val="008F0F54"/>
    <w:rsid w:val="008F165B"/>
    <w:rsid w:val="008F2522"/>
    <w:rsid w:val="008F38B5"/>
    <w:rsid w:val="008F6749"/>
    <w:rsid w:val="008F7739"/>
    <w:rsid w:val="0090529D"/>
    <w:rsid w:val="00905FFF"/>
    <w:rsid w:val="0090609E"/>
    <w:rsid w:val="00906A32"/>
    <w:rsid w:val="0091192B"/>
    <w:rsid w:val="00911E13"/>
    <w:rsid w:val="009125EA"/>
    <w:rsid w:val="00913621"/>
    <w:rsid w:val="0091430B"/>
    <w:rsid w:val="00914737"/>
    <w:rsid w:val="00916F7C"/>
    <w:rsid w:val="0091700D"/>
    <w:rsid w:val="009205EA"/>
    <w:rsid w:val="00920DEC"/>
    <w:rsid w:val="009232F2"/>
    <w:rsid w:val="00924792"/>
    <w:rsid w:val="00925DD5"/>
    <w:rsid w:val="00926352"/>
    <w:rsid w:val="0093100E"/>
    <w:rsid w:val="00931C25"/>
    <w:rsid w:val="00933C27"/>
    <w:rsid w:val="00934569"/>
    <w:rsid w:val="0094082C"/>
    <w:rsid w:val="009422D1"/>
    <w:rsid w:val="009423F4"/>
    <w:rsid w:val="00942D7C"/>
    <w:rsid w:val="00944F2D"/>
    <w:rsid w:val="00945019"/>
    <w:rsid w:val="009506B7"/>
    <w:rsid w:val="00950CE7"/>
    <w:rsid w:val="009512B5"/>
    <w:rsid w:val="009522F9"/>
    <w:rsid w:val="00956052"/>
    <w:rsid w:val="0096073F"/>
    <w:rsid w:val="009609D2"/>
    <w:rsid w:val="00960E75"/>
    <w:rsid w:val="00962740"/>
    <w:rsid w:val="00963111"/>
    <w:rsid w:val="00963FCE"/>
    <w:rsid w:val="00965C59"/>
    <w:rsid w:val="00966603"/>
    <w:rsid w:val="00973519"/>
    <w:rsid w:val="00973774"/>
    <w:rsid w:val="00974D93"/>
    <w:rsid w:val="0097521D"/>
    <w:rsid w:val="00980469"/>
    <w:rsid w:val="0098120C"/>
    <w:rsid w:val="009846C5"/>
    <w:rsid w:val="00985F44"/>
    <w:rsid w:val="0099110C"/>
    <w:rsid w:val="0099181A"/>
    <w:rsid w:val="0099567E"/>
    <w:rsid w:val="00997A64"/>
    <w:rsid w:val="00997FFB"/>
    <w:rsid w:val="009A0453"/>
    <w:rsid w:val="009A1183"/>
    <w:rsid w:val="009A1324"/>
    <w:rsid w:val="009A20D8"/>
    <w:rsid w:val="009A3047"/>
    <w:rsid w:val="009B06CF"/>
    <w:rsid w:val="009B2373"/>
    <w:rsid w:val="009B2819"/>
    <w:rsid w:val="009B395C"/>
    <w:rsid w:val="009B5A3F"/>
    <w:rsid w:val="009B5BF3"/>
    <w:rsid w:val="009B796F"/>
    <w:rsid w:val="009C07FD"/>
    <w:rsid w:val="009C3658"/>
    <w:rsid w:val="009C6627"/>
    <w:rsid w:val="009C740A"/>
    <w:rsid w:val="009D0F05"/>
    <w:rsid w:val="009D19CC"/>
    <w:rsid w:val="009D20A7"/>
    <w:rsid w:val="009D2141"/>
    <w:rsid w:val="009D26E6"/>
    <w:rsid w:val="009D2BFA"/>
    <w:rsid w:val="009D30B1"/>
    <w:rsid w:val="009D3F48"/>
    <w:rsid w:val="009D6F60"/>
    <w:rsid w:val="009E0962"/>
    <w:rsid w:val="009E0B5D"/>
    <w:rsid w:val="009E2AB6"/>
    <w:rsid w:val="009E4572"/>
    <w:rsid w:val="009E46C8"/>
    <w:rsid w:val="009E5BB0"/>
    <w:rsid w:val="009E5FD6"/>
    <w:rsid w:val="009F006B"/>
    <w:rsid w:val="009F04EE"/>
    <w:rsid w:val="009F1864"/>
    <w:rsid w:val="009F2CF4"/>
    <w:rsid w:val="009F6598"/>
    <w:rsid w:val="009F66BC"/>
    <w:rsid w:val="009F67D6"/>
    <w:rsid w:val="00A02234"/>
    <w:rsid w:val="00A022F6"/>
    <w:rsid w:val="00A02BD7"/>
    <w:rsid w:val="00A03257"/>
    <w:rsid w:val="00A03B59"/>
    <w:rsid w:val="00A05A9B"/>
    <w:rsid w:val="00A06A16"/>
    <w:rsid w:val="00A0716D"/>
    <w:rsid w:val="00A1077A"/>
    <w:rsid w:val="00A12EDB"/>
    <w:rsid w:val="00A13689"/>
    <w:rsid w:val="00A1383E"/>
    <w:rsid w:val="00A1393B"/>
    <w:rsid w:val="00A144CA"/>
    <w:rsid w:val="00A14BA6"/>
    <w:rsid w:val="00A1644A"/>
    <w:rsid w:val="00A16525"/>
    <w:rsid w:val="00A16624"/>
    <w:rsid w:val="00A224A0"/>
    <w:rsid w:val="00A227B6"/>
    <w:rsid w:val="00A25004"/>
    <w:rsid w:val="00A26C06"/>
    <w:rsid w:val="00A277BD"/>
    <w:rsid w:val="00A27AAA"/>
    <w:rsid w:val="00A27C0A"/>
    <w:rsid w:val="00A32D88"/>
    <w:rsid w:val="00A41A1D"/>
    <w:rsid w:val="00A41DD5"/>
    <w:rsid w:val="00A432F0"/>
    <w:rsid w:val="00A43BBA"/>
    <w:rsid w:val="00A4785E"/>
    <w:rsid w:val="00A5013F"/>
    <w:rsid w:val="00A50D01"/>
    <w:rsid w:val="00A528BE"/>
    <w:rsid w:val="00A54588"/>
    <w:rsid w:val="00A5489A"/>
    <w:rsid w:val="00A54F3F"/>
    <w:rsid w:val="00A60F05"/>
    <w:rsid w:val="00A62810"/>
    <w:rsid w:val="00A62F73"/>
    <w:rsid w:val="00A65296"/>
    <w:rsid w:val="00A6638A"/>
    <w:rsid w:val="00A70FA3"/>
    <w:rsid w:val="00A71348"/>
    <w:rsid w:val="00A72E05"/>
    <w:rsid w:val="00A74621"/>
    <w:rsid w:val="00A774D5"/>
    <w:rsid w:val="00A77BEB"/>
    <w:rsid w:val="00A80201"/>
    <w:rsid w:val="00A8041F"/>
    <w:rsid w:val="00A811E2"/>
    <w:rsid w:val="00A826D1"/>
    <w:rsid w:val="00A8364C"/>
    <w:rsid w:val="00A857B2"/>
    <w:rsid w:val="00A90488"/>
    <w:rsid w:val="00A90547"/>
    <w:rsid w:val="00A90CD5"/>
    <w:rsid w:val="00A92582"/>
    <w:rsid w:val="00A97543"/>
    <w:rsid w:val="00A97AE4"/>
    <w:rsid w:val="00AA0416"/>
    <w:rsid w:val="00AA0651"/>
    <w:rsid w:val="00AA1737"/>
    <w:rsid w:val="00AA2FF7"/>
    <w:rsid w:val="00AA3C0D"/>
    <w:rsid w:val="00AA46C8"/>
    <w:rsid w:val="00AA4EFA"/>
    <w:rsid w:val="00AA5CCB"/>
    <w:rsid w:val="00AA736E"/>
    <w:rsid w:val="00AB0CE8"/>
    <w:rsid w:val="00AB30B3"/>
    <w:rsid w:val="00AB433D"/>
    <w:rsid w:val="00AB43A5"/>
    <w:rsid w:val="00AB4B26"/>
    <w:rsid w:val="00AB4F77"/>
    <w:rsid w:val="00AC792C"/>
    <w:rsid w:val="00AD1038"/>
    <w:rsid w:val="00AD3747"/>
    <w:rsid w:val="00AD4070"/>
    <w:rsid w:val="00AD540F"/>
    <w:rsid w:val="00AD5579"/>
    <w:rsid w:val="00AD5EE0"/>
    <w:rsid w:val="00AD79C1"/>
    <w:rsid w:val="00AE0505"/>
    <w:rsid w:val="00AE0A55"/>
    <w:rsid w:val="00AE0B0E"/>
    <w:rsid w:val="00AE0E15"/>
    <w:rsid w:val="00AE35E9"/>
    <w:rsid w:val="00AE5A6D"/>
    <w:rsid w:val="00AE642B"/>
    <w:rsid w:val="00AE669F"/>
    <w:rsid w:val="00AE7035"/>
    <w:rsid w:val="00AF05B9"/>
    <w:rsid w:val="00AF1416"/>
    <w:rsid w:val="00AF17AB"/>
    <w:rsid w:val="00AF2776"/>
    <w:rsid w:val="00AF34AB"/>
    <w:rsid w:val="00AF3F1C"/>
    <w:rsid w:val="00AF56B8"/>
    <w:rsid w:val="00B00ACE"/>
    <w:rsid w:val="00B01632"/>
    <w:rsid w:val="00B03FF8"/>
    <w:rsid w:val="00B05CE6"/>
    <w:rsid w:val="00B06779"/>
    <w:rsid w:val="00B07750"/>
    <w:rsid w:val="00B07A8B"/>
    <w:rsid w:val="00B07EC3"/>
    <w:rsid w:val="00B143B1"/>
    <w:rsid w:val="00B1583D"/>
    <w:rsid w:val="00B168FD"/>
    <w:rsid w:val="00B2108F"/>
    <w:rsid w:val="00B3009E"/>
    <w:rsid w:val="00B30377"/>
    <w:rsid w:val="00B3208A"/>
    <w:rsid w:val="00B33965"/>
    <w:rsid w:val="00B33E59"/>
    <w:rsid w:val="00B3410A"/>
    <w:rsid w:val="00B34FFE"/>
    <w:rsid w:val="00B36553"/>
    <w:rsid w:val="00B3766B"/>
    <w:rsid w:val="00B40A32"/>
    <w:rsid w:val="00B40D8B"/>
    <w:rsid w:val="00B40F53"/>
    <w:rsid w:val="00B4134F"/>
    <w:rsid w:val="00B433FD"/>
    <w:rsid w:val="00B43485"/>
    <w:rsid w:val="00B43872"/>
    <w:rsid w:val="00B4394B"/>
    <w:rsid w:val="00B441AA"/>
    <w:rsid w:val="00B47ACF"/>
    <w:rsid w:val="00B504CE"/>
    <w:rsid w:val="00B51853"/>
    <w:rsid w:val="00B52510"/>
    <w:rsid w:val="00B52AB2"/>
    <w:rsid w:val="00B52B75"/>
    <w:rsid w:val="00B550DD"/>
    <w:rsid w:val="00B55DCD"/>
    <w:rsid w:val="00B56C62"/>
    <w:rsid w:val="00B57BF2"/>
    <w:rsid w:val="00B57F3B"/>
    <w:rsid w:val="00B6206E"/>
    <w:rsid w:val="00B62099"/>
    <w:rsid w:val="00B6386F"/>
    <w:rsid w:val="00B63C29"/>
    <w:rsid w:val="00B668D6"/>
    <w:rsid w:val="00B67ABB"/>
    <w:rsid w:val="00B715E7"/>
    <w:rsid w:val="00B71E0B"/>
    <w:rsid w:val="00B7416C"/>
    <w:rsid w:val="00B741D3"/>
    <w:rsid w:val="00B749B7"/>
    <w:rsid w:val="00B75905"/>
    <w:rsid w:val="00B75983"/>
    <w:rsid w:val="00B841E1"/>
    <w:rsid w:val="00B843C7"/>
    <w:rsid w:val="00B8587F"/>
    <w:rsid w:val="00B86AAB"/>
    <w:rsid w:val="00B86F67"/>
    <w:rsid w:val="00B90A8D"/>
    <w:rsid w:val="00B91402"/>
    <w:rsid w:val="00B9579A"/>
    <w:rsid w:val="00B960E5"/>
    <w:rsid w:val="00B960EF"/>
    <w:rsid w:val="00BA0333"/>
    <w:rsid w:val="00BA1113"/>
    <w:rsid w:val="00BA5E6D"/>
    <w:rsid w:val="00BA7EB0"/>
    <w:rsid w:val="00BB01EB"/>
    <w:rsid w:val="00BB1A1D"/>
    <w:rsid w:val="00BB209A"/>
    <w:rsid w:val="00BB2AFC"/>
    <w:rsid w:val="00BB2C84"/>
    <w:rsid w:val="00BB311A"/>
    <w:rsid w:val="00BB50E8"/>
    <w:rsid w:val="00BB7A0E"/>
    <w:rsid w:val="00BC318C"/>
    <w:rsid w:val="00BC35D9"/>
    <w:rsid w:val="00BC3F71"/>
    <w:rsid w:val="00BC4B7B"/>
    <w:rsid w:val="00BC522C"/>
    <w:rsid w:val="00BC5310"/>
    <w:rsid w:val="00BC6E6A"/>
    <w:rsid w:val="00BC7260"/>
    <w:rsid w:val="00BC7829"/>
    <w:rsid w:val="00BD0DFD"/>
    <w:rsid w:val="00BD2952"/>
    <w:rsid w:val="00BD462A"/>
    <w:rsid w:val="00BD601F"/>
    <w:rsid w:val="00BD7D7B"/>
    <w:rsid w:val="00BE097B"/>
    <w:rsid w:val="00BE1B9F"/>
    <w:rsid w:val="00BE229F"/>
    <w:rsid w:val="00BF066E"/>
    <w:rsid w:val="00BF56FA"/>
    <w:rsid w:val="00C00408"/>
    <w:rsid w:val="00C01227"/>
    <w:rsid w:val="00C01C09"/>
    <w:rsid w:val="00C02805"/>
    <w:rsid w:val="00C02FE5"/>
    <w:rsid w:val="00C050F4"/>
    <w:rsid w:val="00C05619"/>
    <w:rsid w:val="00C06966"/>
    <w:rsid w:val="00C06F8D"/>
    <w:rsid w:val="00C07AC2"/>
    <w:rsid w:val="00C1046E"/>
    <w:rsid w:val="00C11471"/>
    <w:rsid w:val="00C12124"/>
    <w:rsid w:val="00C12828"/>
    <w:rsid w:val="00C12F69"/>
    <w:rsid w:val="00C1354B"/>
    <w:rsid w:val="00C13A69"/>
    <w:rsid w:val="00C141D7"/>
    <w:rsid w:val="00C150F6"/>
    <w:rsid w:val="00C15446"/>
    <w:rsid w:val="00C15570"/>
    <w:rsid w:val="00C16BFE"/>
    <w:rsid w:val="00C20303"/>
    <w:rsid w:val="00C2121D"/>
    <w:rsid w:val="00C22A09"/>
    <w:rsid w:val="00C24B27"/>
    <w:rsid w:val="00C251E4"/>
    <w:rsid w:val="00C277A8"/>
    <w:rsid w:val="00C34598"/>
    <w:rsid w:val="00C3691A"/>
    <w:rsid w:val="00C375E3"/>
    <w:rsid w:val="00C40135"/>
    <w:rsid w:val="00C41359"/>
    <w:rsid w:val="00C42927"/>
    <w:rsid w:val="00C43239"/>
    <w:rsid w:val="00C43A2C"/>
    <w:rsid w:val="00C43F6E"/>
    <w:rsid w:val="00C4431D"/>
    <w:rsid w:val="00C46029"/>
    <w:rsid w:val="00C470A5"/>
    <w:rsid w:val="00C477E6"/>
    <w:rsid w:val="00C47D65"/>
    <w:rsid w:val="00C51652"/>
    <w:rsid w:val="00C524D7"/>
    <w:rsid w:val="00C54246"/>
    <w:rsid w:val="00C5479D"/>
    <w:rsid w:val="00C54F6C"/>
    <w:rsid w:val="00C5673F"/>
    <w:rsid w:val="00C57AAC"/>
    <w:rsid w:val="00C57EB3"/>
    <w:rsid w:val="00C605F8"/>
    <w:rsid w:val="00C60B62"/>
    <w:rsid w:val="00C65B0B"/>
    <w:rsid w:val="00C722DF"/>
    <w:rsid w:val="00C72694"/>
    <w:rsid w:val="00C73A4F"/>
    <w:rsid w:val="00C74F37"/>
    <w:rsid w:val="00C76630"/>
    <w:rsid w:val="00C7745F"/>
    <w:rsid w:val="00C812B6"/>
    <w:rsid w:val="00C813C3"/>
    <w:rsid w:val="00C830D6"/>
    <w:rsid w:val="00C844FA"/>
    <w:rsid w:val="00C846AA"/>
    <w:rsid w:val="00C84AC3"/>
    <w:rsid w:val="00C86B1E"/>
    <w:rsid w:val="00C86E20"/>
    <w:rsid w:val="00C879B8"/>
    <w:rsid w:val="00C87BDF"/>
    <w:rsid w:val="00C90DB2"/>
    <w:rsid w:val="00C91BFF"/>
    <w:rsid w:val="00C91C07"/>
    <w:rsid w:val="00C94D84"/>
    <w:rsid w:val="00C95A80"/>
    <w:rsid w:val="00C969CD"/>
    <w:rsid w:val="00CA003F"/>
    <w:rsid w:val="00CA1394"/>
    <w:rsid w:val="00CA2A4A"/>
    <w:rsid w:val="00CA2CC7"/>
    <w:rsid w:val="00CA3370"/>
    <w:rsid w:val="00CA391C"/>
    <w:rsid w:val="00CA3D74"/>
    <w:rsid w:val="00CA51BD"/>
    <w:rsid w:val="00CA590D"/>
    <w:rsid w:val="00CA5EA6"/>
    <w:rsid w:val="00CB3AA8"/>
    <w:rsid w:val="00CB3AC9"/>
    <w:rsid w:val="00CB488F"/>
    <w:rsid w:val="00CB48E7"/>
    <w:rsid w:val="00CB7119"/>
    <w:rsid w:val="00CB74E9"/>
    <w:rsid w:val="00CC3F62"/>
    <w:rsid w:val="00CC5026"/>
    <w:rsid w:val="00CC5491"/>
    <w:rsid w:val="00CC6DA5"/>
    <w:rsid w:val="00CC70DE"/>
    <w:rsid w:val="00CC7DE2"/>
    <w:rsid w:val="00CC7E60"/>
    <w:rsid w:val="00CD0A94"/>
    <w:rsid w:val="00CD16F3"/>
    <w:rsid w:val="00CD2ADE"/>
    <w:rsid w:val="00CD33B4"/>
    <w:rsid w:val="00CD3AA0"/>
    <w:rsid w:val="00CD4326"/>
    <w:rsid w:val="00CD43F1"/>
    <w:rsid w:val="00CD4528"/>
    <w:rsid w:val="00CD4B92"/>
    <w:rsid w:val="00CD655F"/>
    <w:rsid w:val="00CE11AA"/>
    <w:rsid w:val="00CE2370"/>
    <w:rsid w:val="00CE26E7"/>
    <w:rsid w:val="00CE373A"/>
    <w:rsid w:val="00CE380E"/>
    <w:rsid w:val="00CE3907"/>
    <w:rsid w:val="00CE39A0"/>
    <w:rsid w:val="00CE521D"/>
    <w:rsid w:val="00CE578A"/>
    <w:rsid w:val="00CE58AB"/>
    <w:rsid w:val="00CF146D"/>
    <w:rsid w:val="00CF1711"/>
    <w:rsid w:val="00CF1AEA"/>
    <w:rsid w:val="00CF1B15"/>
    <w:rsid w:val="00CF1CA8"/>
    <w:rsid w:val="00CF3854"/>
    <w:rsid w:val="00CF40B8"/>
    <w:rsid w:val="00CF4D08"/>
    <w:rsid w:val="00CF52D0"/>
    <w:rsid w:val="00D00269"/>
    <w:rsid w:val="00D0126E"/>
    <w:rsid w:val="00D02448"/>
    <w:rsid w:val="00D028B4"/>
    <w:rsid w:val="00D04240"/>
    <w:rsid w:val="00D07612"/>
    <w:rsid w:val="00D07C68"/>
    <w:rsid w:val="00D10280"/>
    <w:rsid w:val="00D165A8"/>
    <w:rsid w:val="00D17D1E"/>
    <w:rsid w:val="00D20A42"/>
    <w:rsid w:val="00D21F21"/>
    <w:rsid w:val="00D2218D"/>
    <w:rsid w:val="00D224DD"/>
    <w:rsid w:val="00D22AD4"/>
    <w:rsid w:val="00D25536"/>
    <w:rsid w:val="00D27363"/>
    <w:rsid w:val="00D3392E"/>
    <w:rsid w:val="00D34BBA"/>
    <w:rsid w:val="00D35F5B"/>
    <w:rsid w:val="00D418F7"/>
    <w:rsid w:val="00D426E1"/>
    <w:rsid w:val="00D44DC6"/>
    <w:rsid w:val="00D45930"/>
    <w:rsid w:val="00D475F0"/>
    <w:rsid w:val="00D47805"/>
    <w:rsid w:val="00D50D35"/>
    <w:rsid w:val="00D5106A"/>
    <w:rsid w:val="00D51A59"/>
    <w:rsid w:val="00D51B1F"/>
    <w:rsid w:val="00D53B8A"/>
    <w:rsid w:val="00D53C02"/>
    <w:rsid w:val="00D54493"/>
    <w:rsid w:val="00D5525D"/>
    <w:rsid w:val="00D564DF"/>
    <w:rsid w:val="00D60676"/>
    <w:rsid w:val="00D62192"/>
    <w:rsid w:val="00D64184"/>
    <w:rsid w:val="00D648E4"/>
    <w:rsid w:val="00D64A6F"/>
    <w:rsid w:val="00D672AC"/>
    <w:rsid w:val="00D67725"/>
    <w:rsid w:val="00D707C0"/>
    <w:rsid w:val="00D710D8"/>
    <w:rsid w:val="00D711DD"/>
    <w:rsid w:val="00D71394"/>
    <w:rsid w:val="00D71AFD"/>
    <w:rsid w:val="00D71C81"/>
    <w:rsid w:val="00D72607"/>
    <w:rsid w:val="00D73399"/>
    <w:rsid w:val="00D75E02"/>
    <w:rsid w:val="00D80AF5"/>
    <w:rsid w:val="00D80F72"/>
    <w:rsid w:val="00D81974"/>
    <w:rsid w:val="00D856CF"/>
    <w:rsid w:val="00D863B6"/>
    <w:rsid w:val="00D909F2"/>
    <w:rsid w:val="00D9260C"/>
    <w:rsid w:val="00D93C13"/>
    <w:rsid w:val="00D96311"/>
    <w:rsid w:val="00D96C32"/>
    <w:rsid w:val="00D96F46"/>
    <w:rsid w:val="00DA0CF3"/>
    <w:rsid w:val="00DA44EF"/>
    <w:rsid w:val="00DA4690"/>
    <w:rsid w:val="00DA49C6"/>
    <w:rsid w:val="00DA63E3"/>
    <w:rsid w:val="00DA6CFB"/>
    <w:rsid w:val="00DA6E0F"/>
    <w:rsid w:val="00DA7AD6"/>
    <w:rsid w:val="00DB03F9"/>
    <w:rsid w:val="00DB09D2"/>
    <w:rsid w:val="00DB156C"/>
    <w:rsid w:val="00DB1B1C"/>
    <w:rsid w:val="00DB1E79"/>
    <w:rsid w:val="00DB202E"/>
    <w:rsid w:val="00DB29A0"/>
    <w:rsid w:val="00DB2AA8"/>
    <w:rsid w:val="00DB42BC"/>
    <w:rsid w:val="00DB674F"/>
    <w:rsid w:val="00DB7050"/>
    <w:rsid w:val="00DC0086"/>
    <w:rsid w:val="00DC1E17"/>
    <w:rsid w:val="00DC221E"/>
    <w:rsid w:val="00DC3671"/>
    <w:rsid w:val="00DC39B2"/>
    <w:rsid w:val="00DC3BA1"/>
    <w:rsid w:val="00DC40F3"/>
    <w:rsid w:val="00DC5A96"/>
    <w:rsid w:val="00DC5E1B"/>
    <w:rsid w:val="00DD0A13"/>
    <w:rsid w:val="00DD385B"/>
    <w:rsid w:val="00DD7A66"/>
    <w:rsid w:val="00DE1401"/>
    <w:rsid w:val="00DE235D"/>
    <w:rsid w:val="00DE47DA"/>
    <w:rsid w:val="00DE61BC"/>
    <w:rsid w:val="00DE6A65"/>
    <w:rsid w:val="00DE7712"/>
    <w:rsid w:val="00DF019C"/>
    <w:rsid w:val="00DF0899"/>
    <w:rsid w:val="00DF1364"/>
    <w:rsid w:val="00DF3BF4"/>
    <w:rsid w:val="00DF4133"/>
    <w:rsid w:val="00DF5F7C"/>
    <w:rsid w:val="00E01BCA"/>
    <w:rsid w:val="00E01CF2"/>
    <w:rsid w:val="00E05F85"/>
    <w:rsid w:val="00E06FD0"/>
    <w:rsid w:val="00E0776E"/>
    <w:rsid w:val="00E07F50"/>
    <w:rsid w:val="00E10E32"/>
    <w:rsid w:val="00E10F3A"/>
    <w:rsid w:val="00E111BE"/>
    <w:rsid w:val="00E2165D"/>
    <w:rsid w:val="00E2305F"/>
    <w:rsid w:val="00E23659"/>
    <w:rsid w:val="00E2397D"/>
    <w:rsid w:val="00E249BD"/>
    <w:rsid w:val="00E26DF5"/>
    <w:rsid w:val="00E27640"/>
    <w:rsid w:val="00E310C1"/>
    <w:rsid w:val="00E315BE"/>
    <w:rsid w:val="00E3169F"/>
    <w:rsid w:val="00E32A92"/>
    <w:rsid w:val="00E32B77"/>
    <w:rsid w:val="00E32FF4"/>
    <w:rsid w:val="00E3412A"/>
    <w:rsid w:val="00E3522B"/>
    <w:rsid w:val="00E354D2"/>
    <w:rsid w:val="00E37282"/>
    <w:rsid w:val="00E3780C"/>
    <w:rsid w:val="00E3798E"/>
    <w:rsid w:val="00E402FE"/>
    <w:rsid w:val="00E40E70"/>
    <w:rsid w:val="00E4283F"/>
    <w:rsid w:val="00E42B0D"/>
    <w:rsid w:val="00E42F9D"/>
    <w:rsid w:val="00E44BCD"/>
    <w:rsid w:val="00E4670F"/>
    <w:rsid w:val="00E52E20"/>
    <w:rsid w:val="00E53EBE"/>
    <w:rsid w:val="00E5467E"/>
    <w:rsid w:val="00E54D8E"/>
    <w:rsid w:val="00E55915"/>
    <w:rsid w:val="00E64689"/>
    <w:rsid w:val="00E65E60"/>
    <w:rsid w:val="00E66329"/>
    <w:rsid w:val="00E66B6B"/>
    <w:rsid w:val="00E70C65"/>
    <w:rsid w:val="00E722F3"/>
    <w:rsid w:val="00E72702"/>
    <w:rsid w:val="00E72BB9"/>
    <w:rsid w:val="00E7373F"/>
    <w:rsid w:val="00E739CD"/>
    <w:rsid w:val="00E75217"/>
    <w:rsid w:val="00E757ED"/>
    <w:rsid w:val="00E76B58"/>
    <w:rsid w:val="00E77C84"/>
    <w:rsid w:val="00E77D68"/>
    <w:rsid w:val="00E817D3"/>
    <w:rsid w:val="00E82EFE"/>
    <w:rsid w:val="00E83810"/>
    <w:rsid w:val="00E83905"/>
    <w:rsid w:val="00E84357"/>
    <w:rsid w:val="00E85F49"/>
    <w:rsid w:val="00E92CA9"/>
    <w:rsid w:val="00E93E97"/>
    <w:rsid w:val="00E94AA9"/>
    <w:rsid w:val="00E95504"/>
    <w:rsid w:val="00EA0312"/>
    <w:rsid w:val="00EA2C89"/>
    <w:rsid w:val="00EA3B30"/>
    <w:rsid w:val="00EA59FD"/>
    <w:rsid w:val="00EA795F"/>
    <w:rsid w:val="00EB1C5B"/>
    <w:rsid w:val="00EB50A1"/>
    <w:rsid w:val="00EB538F"/>
    <w:rsid w:val="00EB71BC"/>
    <w:rsid w:val="00EB75BF"/>
    <w:rsid w:val="00EC0FC2"/>
    <w:rsid w:val="00EC21EA"/>
    <w:rsid w:val="00EC3314"/>
    <w:rsid w:val="00EC35A7"/>
    <w:rsid w:val="00EC7C98"/>
    <w:rsid w:val="00ED0EC7"/>
    <w:rsid w:val="00ED17F0"/>
    <w:rsid w:val="00ED292B"/>
    <w:rsid w:val="00ED2C48"/>
    <w:rsid w:val="00ED4822"/>
    <w:rsid w:val="00ED59B9"/>
    <w:rsid w:val="00ED6A0A"/>
    <w:rsid w:val="00ED7B96"/>
    <w:rsid w:val="00EE02DD"/>
    <w:rsid w:val="00EE06B3"/>
    <w:rsid w:val="00EE374B"/>
    <w:rsid w:val="00EE417F"/>
    <w:rsid w:val="00EE437B"/>
    <w:rsid w:val="00EF0AFF"/>
    <w:rsid w:val="00EF31EC"/>
    <w:rsid w:val="00EF3A21"/>
    <w:rsid w:val="00EF3CD9"/>
    <w:rsid w:val="00EF5C8C"/>
    <w:rsid w:val="00EF61FC"/>
    <w:rsid w:val="00F04F8A"/>
    <w:rsid w:val="00F053B8"/>
    <w:rsid w:val="00F06212"/>
    <w:rsid w:val="00F102F1"/>
    <w:rsid w:val="00F109C4"/>
    <w:rsid w:val="00F11DC7"/>
    <w:rsid w:val="00F12A3C"/>
    <w:rsid w:val="00F1428D"/>
    <w:rsid w:val="00F16C2F"/>
    <w:rsid w:val="00F223E5"/>
    <w:rsid w:val="00F24200"/>
    <w:rsid w:val="00F269F9"/>
    <w:rsid w:val="00F27FFA"/>
    <w:rsid w:val="00F31739"/>
    <w:rsid w:val="00F31E2D"/>
    <w:rsid w:val="00F32961"/>
    <w:rsid w:val="00F33B77"/>
    <w:rsid w:val="00F349FC"/>
    <w:rsid w:val="00F34B57"/>
    <w:rsid w:val="00F3551E"/>
    <w:rsid w:val="00F35CBB"/>
    <w:rsid w:val="00F40568"/>
    <w:rsid w:val="00F40B44"/>
    <w:rsid w:val="00F44B0C"/>
    <w:rsid w:val="00F502D5"/>
    <w:rsid w:val="00F514A2"/>
    <w:rsid w:val="00F52C4B"/>
    <w:rsid w:val="00F57882"/>
    <w:rsid w:val="00F60775"/>
    <w:rsid w:val="00F63101"/>
    <w:rsid w:val="00F651DC"/>
    <w:rsid w:val="00F658AB"/>
    <w:rsid w:val="00F65EB2"/>
    <w:rsid w:val="00F65F65"/>
    <w:rsid w:val="00F67DAF"/>
    <w:rsid w:val="00F7160B"/>
    <w:rsid w:val="00F72572"/>
    <w:rsid w:val="00F734E9"/>
    <w:rsid w:val="00F7376C"/>
    <w:rsid w:val="00F73D2B"/>
    <w:rsid w:val="00F749E9"/>
    <w:rsid w:val="00F7666E"/>
    <w:rsid w:val="00F7721C"/>
    <w:rsid w:val="00F775FC"/>
    <w:rsid w:val="00F8174C"/>
    <w:rsid w:val="00F81965"/>
    <w:rsid w:val="00F83A29"/>
    <w:rsid w:val="00F84FB9"/>
    <w:rsid w:val="00F86237"/>
    <w:rsid w:val="00F86250"/>
    <w:rsid w:val="00F86EE7"/>
    <w:rsid w:val="00F91723"/>
    <w:rsid w:val="00F935D4"/>
    <w:rsid w:val="00F96D88"/>
    <w:rsid w:val="00FA2664"/>
    <w:rsid w:val="00FA4D2F"/>
    <w:rsid w:val="00FA5E62"/>
    <w:rsid w:val="00FA63EF"/>
    <w:rsid w:val="00FA69C8"/>
    <w:rsid w:val="00FB0C9B"/>
    <w:rsid w:val="00FB1324"/>
    <w:rsid w:val="00FB1C42"/>
    <w:rsid w:val="00FB2292"/>
    <w:rsid w:val="00FB2CB0"/>
    <w:rsid w:val="00FB7854"/>
    <w:rsid w:val="00FC23A1"/>
    <w:rsid w:val="00FC3C85"/>
    <w:rsid w:val="00FC65C1"/>
    <w:rsid w:val="00FC7E39"/>
    <w:rsid w:val="00FD0E82"/>
    <w:rsid w:val="00FD16BC"/>
    <w:rsid w:val="00FD2888"/>
    <w:rsid w:val="00FD41A8"/>
    <w:rsid w:val="00FD4CE4"/>
    <w:rsid w:val="00FD5266"/>
    <w:rsid w:val="00FD6335"/>
    <w:rsid w:val="00FD6339"/>
    <w:rsid w:val="00FD68D2"/>
    <w:rsid w:val="00FE0290"/>
    <w:rsid w:val="00FE218B"/>
    <w:rsid w:val="00FE349B"/>
    <w:rsid w:val="00FE3D5E"/>
    <w:rsid w:val="00FE4C19"/>
    <w:rsid w:val="00FE5276"/>
    <w:rsid w:val="00FE5AA2"/>
    <w:rsid w:val="00FE64F5"/>
    <w:rsid w:val="00FE658A"/>
    <w:rsid w:val="00FF4E4F"/>
    <w:rsid w:val="00FF5221"/>
    <w:rsid w:val="00FF5A50"/>
    <w:rsid w:val="00FF645C"/>
    <w:rsid w:val="00FF7B36"/>
    <w:rsid w:val="00FF7B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4B35A87"/>
  <w15:docId w15:val="{ED20929A-CA2F-4602-B4B2-F3ADF976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F2"/>
    <w:rPr>
      <w:sz w:val="24"/>
      <w:szCs w:val="24"/>
    </w:rPr>
  </w:style>
  <w:style w:type="paragraph" w:styleId="Heading1">
    <w:name w:val="heading 1"/>
    <w:basedOn w:val="Normal"/>
    <w:next w:val="Normal"/>
    <w:link w:val="Heading1Char"/>
    <w:uiPriority w:val="9"/>
    <w:qFormat/>
    <w:rsid w:val="002807E2"/>
    <w:pPr>
      <w:keepNext/>
      <w:jc w:val="both"/>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7725E8"/>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7725E8"/>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B55DCD"/>
    <w:pPr>
      <w:keepNext/>
      <w:jc w:val="both"/>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paragraph" w:styleId="Header">
    <w:name w:val="header"/>
    <w:basedOn w:val="Normal"/>
    <w:link w:val="HeaderChar"/>
    <w:uiPriority w:val="99"/>
    <w:rsid w:val="002408D5"/>
    <w:pPr>
      <w:tabs>
        <w:tab w:val="center" w:pos="4153"/>
        <w:tab w:val="right" w:pos="8306"/>
      </w:tabs>
    </w:pPr>
    <w:rPr>
      <w:lang w:val="x-none" w:eastAsia="x-none"/>
    </w:r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2408D5"/>
    <w:pPr>
      <w:tabs>
        <w:tab w:val="center" w:pos="4153"/>
        <w:tab w:val="right" w:pos="8306"/>
      </w:tabs>
    </w:pPr>
    <w:rPr>
      <w:lang w:val="x-none" w:eastAsia="x-none"/>
    </w:rPr>
  </w:style>
  <w:style w:type="character" w:customStyle="1" w:styleId="FooterChar">
    <w:name w:val="Footer Char"/>
    <w:link w:val="Footer"/>
    <w:uiPriority w:val="99"/>
    <w:semiHidden/>
    <w:locked/>
    <w:rPr>
      <w:rFonts w:cs="Times New Roman"/>
      <w:sz w:val="24"/>
      <w:szCs w:val="24"/>
    </w:rPr>
  </w:style>
  <w:style w:type="paragraph" w:styleId="BalloonText">
    <w:name w:val="Balloon Text"/>
    <w:basedOn w:val="Normal"/>
    <w:link w:val="BalloonTextChar"/>
    <w:uiPriority w:val="99"/>
    <w:semiHidden/>
    <w:rsid w:val="00230BDE"/>
    <w:rPr>
      <w:sz w:val="2"/>
      <w:szCs w:val="20"/>
      <w:lang w:val="x-none" w:eastAsia="x-none"/>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rsid w:val="002807E2"/>
    <w:pPr>
      <w:jc w:val="both"/>
    </w:pPr>
    <w:rPr>
      <w:lang w:val="x-none" w:eastAsia="x-none"/>
    </w:rPr>
  </w:style>
  <w:style w:type="character" w:customStyle="1" w:styleId="BodyTextChar">
    <w:name w:val="Body Text Char"/>
    <w:link w:val="BodyText"/>
    <w:uiPriority w:val="99"/>
    <w:semiHidden/>
    <w:locked/>
    <w:rPr>
      <w:rFonts w:cs="Times New Roman"/>
      <w:sz w:val="24"/>
      <w:szCs w:val="24"/>
    </w:rPr>
  </w:style>
  <w:style w:type="character" w:styleId="PageNumber">
    <w:name w:val="page number"/>
    <w:uiPriority w:val="99"/>
    <w:rsid w:val="007762DA"/>
    <w:rPr>
      <w:rFonts w:cs="Times New Roman"/>
    </w:rPr>
  </w:style>
  <w:style w:type="paragraph" w:styleId="FootnoteText">
    <w:name w:val="footnote text"/>
    <w:basedOn w:val="Normal"/>
    <w:link w:val="FootnoteTextChar"/>
    <w:uiPriority w:val="99"/>
    <w:semiHidden/>
    <w:rsid w:val="002F7217"/>
    <w:rPr>
      <w:sz w:val="20"/>
      <w:szCs w:val="20"/>
      <w:lang w:val="x-none" w:eastAsia="x-none"/>
    </w:rPr>
  </w:style>
  <w:style w:type="character" w:customStyle="1" w:styleId="FootnoteTextChar">
    <w:name w:val="Footnote Text Char"/>
    <w:link w:val="FootnoteText"/>
    <w:uiPriority w:val="99"/>
    <w:semiHidden/>
    <w:locked/>
    <w:rPr>
      <w:rFonts w:cs="Times New Roman"/>
    </w:rPr>
  </w:style>
  <w:style w:type="character" w:styleId="FootnoteReference">
    <w:name w:val="footnote reference"/>
    <w:uiPriority w:val="99"/>
    <w:semiHidden/>
    <w:rsid w:val="002F7217"/>
    <w:rPr>
      <w:rFonts w:cs="Times New Roman"/>
      <w:vertAlign w:val="superscript"/>
    </w:rPr>
  </w:style>
  <w:style w:type="table" w:styleId="TableGrid">
    <w:name w:val="Table Grid"/>
    <w:basedOn w:val="TableNormal"/>
    <w:uiPriority w:val="39"/>
    <w:rsid w:val="00F8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52221F"/>
    <w:rPr>
      <w:rFonts w:cs="Times New Roman"/>
      <w:sz w:val="16"/>
      <w:szCs w:val="16"/>
    </w:rPr>
  </w:style>
  <w:style w:type="paragraph" w:styleId="CommentText">
    <w:name w:val="annotation text"/>
    <w:basedOn w:val="Normal"/>
    <w:link w:val="CommentTextChar"/>
    <w:uiPriority w:val="99"/>
    <w:semiHidden/>
    <w:rsid w:val="0052221F"/>
    <w:rPr>
      <w:sz w:val="20"/>
      <w:szCs w:val="20"/>
      <w:lang w:val="x-none" w:eastAsia="x-none"/>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52221F"/>
    <w:rPr>
      <w:b/>
      <w:bCs/>
    </w:rPr>
  </w:style>
  <w:style w:type="character" w:customStyle="1" w:styleId="CommentSubjectChar">
    <w:name w:val="Comment Subject Char"/>
    <w:link w:val="CommentSubject"/>
    <w:uiPriority w:val="99"/>
    <w:semiHidden/>
    <w:locked/>
    <w:rPr>
      <w:rFonts w:cs="Times New Roman"/>
      <w:b/>
      <w:bCs/>
    </w:rPr>
  </w:style>
  <w:style w:type="paragraph" w:styleId="BodyTextIndent">
    <w:name w:val="Body Text Indent"/>
    <w:basedOn w:val="Normal"/>
    <w:link w:val="BodyTextIndentChar"/>
    <w:uiPriority w:val="99"/>
    <w:rsid w:val="00B86AAB"/>
    <w:pPr>
      <w:spacing w:after="120"/>
      <w:ind w:left="283"/>
    </w:pPr>
    <w:rPr>
      <w:lang w:val="x-none" w:eastAsia="x-none"/>
    </w:rPr>
  </w:style>
  <w:style w:type="character" w:customStyle="1" w:styleId="BodyTextIndentChar">
    <w:name w:val="Body Text Indent Char"/>
    <w:link w:val="BodyTextIndent"/>
    <w:uiPriority w:val="99"/>
    <w:semiHidden/>
    <w:locked/>
    <w:rPr>
      <w:rFonts w:cs="Times New Roman"/>
      <w:sz w:val="24"/>
      <w:szCs w:val="24"/>
    </w:rPr>
  </w:style>
  <w:style w:type="paragraph" w:customStyle="1" w:styleId="ColorfulList-Accent11">
    <w:name w:val="Colorful List - Accent 11"/>
    <w:basedOn w:val="Normal"/>
    <w:uiPriority w:val="34"/>
    <w:qFormat/>
    <w:rsid w:val="00026B4F"/>
    <w:pPr>
      <w:ind w:left="720"/>
    </w:pPr>
  </w:style>
  <w:style w:type="character" w:styleId="Hyperlink">
    <w:name w:val="Hyperlink"/>
    <w:rsid w:val="00DF1364"/>
    <w:rPr>
      <w:color w:val="0000FF"/>
      <w:u w:val="single"/>
    </w:rPr>
  </w:style>
  <w:style w:type="character" w:customStyle="1" w:styleId="mark">
    <w:name w:val="mark"/>
    <w:basedOn w:val="DefaultParagraphFont"/>
    <w:rsid w:val="004513F7"/>
  </w:style>
  <w:style w:type="paragraph" w:styleId="BodyText2">
    <w:name w:val="Body Text 2"/>
    <w:basedOn w:val="Normal"/>
    <w:link w:val="BodyText2Char"/>
    <w:rsid w:val="00C46029"/>
    <w:pPr>
      <w:spacing w:after="120" w:line="480" w:lineRule="auto"/>
    </w:pPr>
    <w:rPr>
      <w:lang w:val="x-none" w:eastAsia="x-none"/>
    </w:rPr>
  </w:style>
  <w:style w:type="character" w:customStyle="1" w:styleId="BodyText2Char">
    <w:name w:val="Body Text 2 Char"/>
    <w:link w:val="BodyText2"/>
    <w:rsid w:val="00C46029"/>
    <w:rPr>
      <w:sz w:val="24"/>
      <w:szCs w:val="24"/>
    </w:rPr>
  </w:style>
  <w:style w:type="paragraph" w:styleId="EndnoteText">
    <w:name w:val="endnote text"/>
    <w:basedOn w:val="Normal"/>
    <w:link w:val="EndnoteTextChar"/>
    <w:rsid w:val="004057FF"/>
    <w:rPr>
      <w:sz w:val="20"/>
      <w:szCs w:val="20"/>
    </w:rPr>
  </w:style>
  <w:style w:type="character" w:customStyle="1" w:styleId="EndnoteTextChar">
    <w:name w:val="Endnote Text Char"/>
    <w:basedOn w:val="DefaultParagraphFont"/>
    <w:link w:val="EndnoteText"/>
    <w:rsid w:val="004057FF"/>
  </w:style>
  <w:style w:type="character" w:styleId="EndnoteReference">
    <w:name w:val="endnote reference"/>
    <w:rsid w:val="004057FF"/>
    <w:rPr>
      <w:vertAlign w:val="superscript"/>
    </w:rPr>
  </w:style>
  <w:style w:type="paragraph" w:styleId="PlainText">
    <w:name w:val="Plain Text"/>
    <w:basedOn w:val="Normal"/>
    <w:link w:val="PlainTextChar"/>
    <w:uiPriority w:val="99"/>
    <w:unhideWhenUsed/>
    <w:rsid w:val="00CD0A94"/>
    <w:rPr>
      <w:rFonts w:ascii="Calibri" w:eastAsia="Calibri" w:hAnsi="Calibri"/>
      <w:sz w:val="22"/>
      <w:szCs w:val="21"/>
      <w:lang w:val="x-none" w:eastAsia="en-US"/>
    </w:rPr>
  </w:style>
  <w:style w:type="character" w:customStyle="1" w:styleId="PlainTextChar">
    <w:name w:val="Plain Text Char"/>
    <w:link w:val="PlainText"/>
    <w:uiPriority w:val="99"/>
    <w:rsid w:val="00CD0A94"/>
    <w:rPr>
      <w:rFonts w:ascii="Calibri" w:eastAsia="Calibri" w:hAnsi="Calibri"/>
      <w:sz w:val="22"/>
      <w:szCs w:val="21"/>
      <w:lang w:eastAsia="en-US"/>
    </w:rPr>
  </w:style>
  <w:style w:type="paragraph" w:styleId="ListParagraph">
    <w:name w:val="List Paragraph"/>
    <w:basedOn w:val="Normal"/>
    <w:uiPriority w:val="34"/>
    <w:qFormat/>
    <w:rsid w:val="00FB1324"/>
    <w:pPr>
      <w:ind w:left="720"/>
      <w:contextualSpacing/>
    </w:pPr>
  </w:style>
  <w:style w:type="paragraph" w:customStyle="1" w:styleId="yiv3293508355msonormal">
    <w:name w:val="yiv3293508355msonormal"/>
    <w:basedOn w:val="Normal"/>
    <w:rsid w:val="00DB03F9"/>
    <w:pPr>
      <w:spacing w:before="100" w:beforeAutospacing="1" w:after="100" w:afterAutospacing="1"/>
    </w:pPr>
    <w:rPr>
      <w:rFonts w:eastAsiaTheme="minorHAnsi"/>
    </w:rPr>
  </w:style>
  <w:style w:type="character" w:styleId="FollowedHyperlink">
    <w:name w:val="FollowedHyperlink"/>
    <w:basedOn w:val="DefaultParagraphFont"/>
    <w:rsid w:val="009F67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0663">
      <w:bodyDiv w:val="1"/>
      <w:marLeft w:val="0"/>
      <w:marRight w:val="0"/>
      <w:marTop w:val="0"/>
      <w:marBottom w:val="0"/>
      <w:divBdr>
        <w:top w:val="none" w:sz="0" w:space="0" w:color="auto"/>
        <w:left w:val="none" w:sz="0" w:space="0" w:color="auto"/>
        <w:bottom w:val="none" w:sz="0" w:space="0" w:color="auto"/>
        <w:right w:val="none" w:sz="0" w:space="0" w:color="auto"/>
      </w:divBdr>
    </w:div>
    <w:div w:id="140737862">
      <w:bodyDiv w:val="1"/>
      <w:marLeft w:val="0"/>
      <w:marRight w:val="0"/>
      <w:marTop w:val="0"/>
      <w:marBottom w:val="0"/>
      <w:divBdr>
        <w:top w:val="none" w:sz="0" w:space="0" w:color="auto"/>
        <w:left w:val="none" w:sz="0" w:space="0" w:color="auto"/>
        <w:bottom w:val="none" w:sz="0" w:space="0" w:color="auto"/>
        <w:right w:val="none" w:sz="0" w:space="0" w:color="auto"/>
      </w:divBdr>
    </w:div>
    <w:div w:id="144663839">
      <w:marLeft w:val="0"/>
      <w:marRight w:val="0"/>
      <w:marTop w:val="0"/>
      <w:marBottom w:val="0"/>
      <w:divBdr>
        <w:top w:val="none" w:sz="0" w:space="0" w:color="auto"/>
        <w:left w:val="none" w:sz="0" w:space="0" w:color="auto"/>
        <w:bottom w:val="none" w:sz="0" w:space="0" w:color="auto"/>
        <w:right w:val="none" w:sz="0" w:space="0" w:color="auto"/>
      </w:divBdr>
    </w:div>
    <w:div w:id="144663842">
      <w:marLeft w:val="0"/>
      <w:marRight w:val="0"/>
      <w:marTop w:val="0"/>
      <w:marBottom w:val="0"/>
      <w:divBdr>
        <w:top w:val="none" w:sz="0" w:space="0" w:color="auto"/>
        <w:left w:val="none" w:sz="0" w:space="0" w:color="auto"/>
        <w:bottom w:val="none" w:sz="0" w:space="0" w:color="auto"/>
        <w:right w:val="none" w:sz="0" w:space="0" w:color="auto"/>
      </w:divBdr>
    </w:div>
    <w:div w:id="144663843">
      <w:marLeft w:val="0"/>
      <w:marRight w:val="0"/>
      <w:marTop w:val="0"/>
      <w:marBottom w:val="0"/>
      <w:divBdr>
        <w:top w:val="none" w:sz="0" w:space="0" w:color="auto"/>
        <w:left w:val="none" w:sz="0" w:space="0" w:color="auto"/>
        <w:bottom w:val="none" w:sz="0" w:space="0" w:color="auto"/>
        <w:right w:val="none" w:sz="0" w:space="0" w:color="auto"/>
      </w:divBdr>
    </w:div>
    <w:div w:id="144663846">
      <w:marLeft w:val="0"/>
      <w:marRight w:val="0"/>
      <w:marTop w:val="0"/>
      <w:marBottom w:val="0"/>
      <w:divBdr>
        <w:top w:val="none" w:sz="0" w:space="0" w:color="auto"/>
        <w:left w:val="none" w:sz="0" w:space="0" w:color="auto"/>
        <w:bottom w:val="none" w:sz="0" w:space="0" w:color="auto"/>
        <w:right w:val="none" w:sz="0" w:space="0" w:color="auto"/>
      </w:divBdr>
    </w:div>
    <w:div w:id="144663847">
      <w:marLeft w:val="0"/>
      <w:marRight w:val="0"/>
      <w:marTop w:val="0"/>
      <w:marBottom w:val="0"/>
      <w:divBdr>
        <w:top w:val="none" w:sz="0" w:space="0" w:color="auto"/>
        <w:left w:val="none" w:sz="0" w:space="0" w:color="auto"/>
        <w:bottom w:val="none" w:sz="0" w:space="0" w:color="auto"/>
        <w:right w:val="none" w:sz="0" w:space="0" w:color="auto"/>
      </w:divBdr>
      <w:divsChild>
        <w:div w:id="144663837">
          <w:marLeft w:val="0"/>
          <w:marRight w:val="0"/>
          <w:marTop w:val="0"/>
          <w:marBottom w:val="0"/>
          <w:divBdr>
            <w:top w:val="none" w:sz="0" w:space="0" w:color="auto"/>
            <w:left w:val="none" w:sz="0" w:space="0" w:color="auto"/>
            <w:bottom w:val="none" w:sz="0" w:space="0" w:color="auto"/>
            <w:right w:val="none" w:sz="0" w:space="0" w:color="auto"/>
          </w:divBdr>
        </w:div>
        <w:div w:id="144663838">
          <w:marLeft w:val="0"/>
          <w:marRight w:val="0"/>
          <w:marTop w:val="0"/>
          <w:marBottom w:val="0"/>
          <w:divBdr>
            <w:top w:val="none" w:sz="0" w:space="0" w:color="auto"/>
            <w:left w:val="none" w:sz="0" w:space="0" w:color="auto"/>
            <w:bottom w:val="none" w:sz="0" w:space="0" w:color="auto"/>
            <w:right w:val="none" w:sz="0" w:space="0" w:color="auto"/>
          </w:divBdr>
        </w:div>
        <w:div w:id="144663840">
          <w:marLeft w:val="0"/>
          <w:marRight w:val="0"/>
          <w:marTop w:val="0"/>
          <w:marBottom w:val="0"/>
          <w:divBdr>
            <w:top w:val="none" w:sz="0" w:space="0" w:color="auto"/>
            <w:left w:val="none" w:sz="0" w:space="0" w:color="auto"/>
            <w:bottom w:val="none" w:sz="0" w:space="0" w:color="auto"/>
            <w:right w:val="none" w:sz="0" w:space="0" w:color="auto"/>
          </w:divBdr>
        </w:div>
        <w:div w:id="144663841">
          <w:marLeft w:val="0"/>
          <w:marRight w:val="0"/>
          <w:marTop w:val="0"/>
          <w:marBottom w:val="0"/>
          <w:divBdr>
            <w:top w:val="none" w:sz="0" w:space="0" w:color="auto"/>
            <w:left w:val="none" w:sz="0" w:space="0" w:color="auto"/>
            <w:bottom w:val="none" w:sz="0" w:space="0" w:color="auto"/>
            <w:right w:val="none" w:sz="0" w:space="0" w:color="auto"/>
          </w:divBdr>
        </w:div>
        <w:div w:id="144663844">
          <w:marLeft w:val="0"/>
          <w:marRight w:val="0"/>
          <w:marTop w:val="0"/>
          <w:marBottom w:val="0"/>
          <w:divBdr>
            <w:top w:val="none" w:sz="0" w:space="0" w:color="auto"/>
            <w:left w:val="none" w:sz="0" w:space="0" w:color="auto"/>
            <w:bottom w:val="none" w:sz="0" w:space="0" w:color="auto"/>
            <w:right w:val="none" w:sz="0" w:space="0" w:color="auto"/>
          </w:divBdr>
        </w:div>
        <w:div w:id="144663845">
          <w:marLeft w:val="0"/>
          <w:marRight w:val="0"/>
          <w:marTop w:val="0"/>
          <w:marBottom w:val="0"/>
          <w:divBdr>
            <w:top w:val="none" w:sz="0" w:space="0" w:color="auto"/>
            <w:left w:val="none" w:sz="0" w:space="0" w:color="auto"/>
            <w:bottom w:val="none" w:sz="0" w:space="0" w:color="auto"/>
            <w:right w:val="none" w:sz="0" w:space="0" w:color="auto"/>
          </w:divBdr>
        </w:div>
      </w:divsChild>
    </w:div>
    <w:div w:id="144663848">
      <w:marLeft w:val="0"/>
      <w:marRight w:val="0"/>
      <w:marTop w:val="0"/>
      <w:marBottom w:val="0"/>
      <w:divBdr>
        <w:top w:val="none" w:sz="0" w:space="0" w:color="auto"/>
        <w:left w:val="none" w:sz="0" w:space="0" w:color="auto"/>
        <w:bottom w:val="none" w:sz="0" w:space="0" w:color="auto"/>
        <w:right w:val="none" w:sz="0" w:space="0" w:color="auto"/>
      </w:divBdr>
    </w:div>
    <w:div w:id="701172523">
      <w:bodyDiv w:val="1"/>
      <w:marLeft w:val="0"/>
      <w:marRight w:val="0"/>
      <w:marTop w:val="0"/>
      <w:marBottom w:val="0"/>
      <w:divBdr>
        <w:top w:val="none" w:sz="0" w:space="0" w:color="auto"/>
        <w:left w:val="none" w:sz="0" w:space="0" w:color="auto"/>
        <w:bottom w:val="none" w:sz="0" w:space="0" w:color="auto"/>
        <w:right w:val="none" w:sz="0" w:space="0" w:color="auto"/>
      </w:divBdr>
    </w:div>
    <w:div w:id="753749563">
      <w:bodyDiv w:val="1"/>
      <w:marLeft w:val="0"/>
      <w:marRight w:val="0"/>
      <w:marTop w:val="0"/>
      <w:marBottom w:val="0"/>
      <w:divBdr>
        <w:top w:val="none" w:sz="0" w:space="0" w:color="auto"/>
        <w:left w:val="none" w:sz="0" w:space="0" w:color="auto"/>
        <w:bottom w:val="none" w:sz="0" w:space="0" w:color="auto"/>
        <w:right w:val="none" w:sz="0" w:space="0" w:color="auto"/>
      </w:divBdr>
      <w:divsChild>
        <w:div w:id="192772873">
          <w:marLeft w:val="0"/>
          <w:marRight w:val="0"/>
          <w:marTop w:val="0"/>
          <w:marBottom w:val="0"/>
          <w:divBdr>
            <w:top w:val="none" w:sz="0" w:space="0" w:color="auto"/>
            <w:left w:val="none" w:sz="0" w:space="0" w:color="auto"/>
            <w:bottom w:val="none" w:sz="0" w:space="0" w:color="auto"/>
            <w:right w:val="none" w:sz="0" w:space="0" w:color="auto"/>
          </w:divBdr>
          <w:divsChild>
            <w:div w:id="576285447">
              <w:marLeft w:val="0"/>
              <w:marRight w:val="0"/>
              <w:marTop w:val="0"/>
              <w:marBottom w:val="0"/>
              <w:divBdr>
                <w:top w:val="none" w:sz="0" w:space="0" w:color="auto"/>
                <w:left w:val="none" w:sz="0" w:space="0" w:color="auto"/>
                <w:bottom w:val="none" w:sz="0" w:space="0" w:color="auto"/>
                <w:right w:val="none" w:sz="0" w:space="0" w:color="auto"/>
              </w:divBdr>
              <w:divsChild>
                <w:div w:id="77531054">
                  <w:marLeft w:val="0"/>
                  <w:marRight w:val="0"/>
                  <w:marTop w:val="0"/>
                  <w:marBottom w:val="0"/>
                  <w:divBdr>
                    <w:top w:val="none" w:sz="0" w:space="0" w:color="auto"/>
                    <w:left w:val="none" w:sz="0" w:space="0" w:color="auto"/>
                    <w:bottom w:val="none" w:sz="0" w:space="0" w:color="auto"/>
                    <w:right w:val="none" w:sz="0" w:space="0" w:color="auto"/>
                  </w:divBdr>
                  <w:divsChild>
                    <w:div w:id="301349215">
                      <w:marLeft w:val="0"/>
                      <w:marRight w:val="0"/>
                      <w:marTop w:val="0"/>
                      <w:marBottom w:val="0"/>
                      <w:divBdr>
                        <w:top w:val="none" w:sz="0" w:space="0" w:color="auto"/>
                        <w:left w:val="none" w:sz="0" w:space="0" w:color="auto"/>
                        <w:bottom w:val="none" w:sz="0" w:space="0" w:color="auto"/>
                        <w:right w:val="none" w:sz="0" w:space="0" w:color="auto"/>
                      </w:divBdr>
                      <w:divsChild>
                        <w:div w:id="1886872910">
                          <w:marLeft w:val="0"/>
                          <w:marRight w:val="0"/>
                          <w:marTop w:val="0"/>
                          <w:marBottom w:val="0"/>
                          <w:divBdr>
                            <w:top w:val="none" w:sz="0" w:space="0" w:color="auto"/>
                            <w:left w:val="none" w:sz="0" w:space="0" w:color="auto"/>
                            <w:bottom w:val="none" w:sz="0" w:space="0" w:color="auto"/>
                            <w:right w:val="none" w:sz="0" w:space="0" w:color="auto"/>
                          </w:divBdr>
                          <w:divsChild>
                            <w:div w:id="1980039821">
                              <w:marLeft w:val="0"/>
                              <w:marRight w:val="0"/>
                              <w:marTop w:val="0"/>
                              <w:marBottom w:val="0"/>
                              <w:divBdr>
                                <w:top w:val="none" w:sz="0" w:space="0" w:color="auto"/>
                                <w:left w:val="none" w:sz="0" w:space="0" w:color="auto"/>
                                <w:bottom w:val="none" w:sz="0" w:space="0" w:color="auto"/>
                                <w:right w:val="none" w:sz="0" w:space="0" w:color="auto"/>
                              </w:divBdr>
                              <w:divsChild>
                                <w:div w:id="1131362911">
                                  <w:marLeft w:val="0"/>
                                  <w:marRight w:val="0"/>
                                  <w:marTop w:val="0"/>
                                  <w:marBottom w:val="0"/>
                                  <w:divBdr>
                                    <w:top w:val="none" w:sz="0" w:space="0" w:color="auto"/>
                                    <w:left w:val="none" w:sz="0" w:space="0" w:color="auto"/>
                                    <w:bottom w:val="none" w:sz="0" w:space="0" w:color="auto"/>
                                    <w:right w:val="none" w:sz="0" w:space="0" w:color="auto"/>
                                  </w:divBdr>
                                  <w:divsChild>
                                    <w:div w:id="1485509276">
                                      <w:marLeft w:val="0"/>
                                      <w:marRight w:val="0"/>
                                      <w:marTop w:val="0"/>
                                      <w:marBottom w:val="0"/>
                                      <w:divBdr>
                                        <w:top w:val="none" w:sz="0" w:space="0" w:color="auto"/>
                                        <w:left w:val="none" w:sz="0" w:space="0" w:color="auto"/>
                                        <w:bottom w:val="none" w:sz="0" w:space="0" w:color="auto"/>
                                        <w:right w:val="none" w:sz="0" w:space="0" w:color="auto"/>
                                      </w:divBdr>
                                    </w:div>
                                    <w:div w:id="18912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781160">
      <w:bodyDiv w:val="1"/>
      <w:marLeft w:val="0"/>
      <w:marRight w:val="0"/>
      <w:marTop w:val="0"/>
      <w:marBottom w:val="0"/>
      <w:divBdr>
        <w:top w:val="none" w:sz="0" w:space="0" w:color="auto"/>
        <w:left w:val="none" w:sz="0" w:space="0" w:color="auto"/>
        <w:bottom w:val="none" w:sz="0" w:space="0" w:color="auto"/>
        <w:right w:val="none" w:sz="0" w:space="0" w:color="auto"/>
      </w:divBdr>
    </w:div>
    <w:div w:id="1070428148">
      <w:bodyDiv w:val="1"/>
      <w:marLeft w:val="0"/>
      <w:marRight w:val="0"/>
      <w:marTop w:val="0"/>
      <w:marBottom w:val="0"/>
      <w:divBdr>
        <w:top w:val="none" w:sz="0" w:space="0" w:color="auto"/>
        <w:left w:val="none" w:sz="0" w:space="0" w:color="auto"/>
        <w:bottom w:val="none" w:sz="0" w:space="0" w:color="auto"/>
        <w:right w:val="none" w:sz="0" w:space="0" w:color="auto"/>
      </w:divBdr>
    </w:div>
    <w:div w:id="1321929558">
      <w:bodyDiv w:val="1"/>
      <w:marLeft w:val="0"/>
      <w:marRight w:val="0"/>
      <w:marTop w:val="0"/>
      <w:marBottom w:val="0"/>
      <w:divBdr>
        <w:top w:val="none" w:sz="0" w:space="0" w:color="auto"/>
        <w:left w:val="none" w:sz="0" w:space="0" w:color="auto"/>
        <w:bottom w:val="none" w:sz="0" w:space="0" w:color="auto"/>
        <w:right w:val="none" w:sz="0" w:space="0" w:color="auto"/>
      </w:divBdr>
    </w:div>
    <w:div w:id="1382901818">
      <w:bodyDiv w:val="1"/>
      <w:marLeft w:val="0"/>
      <w:marRight w:val="0"/>
      <w:marTop w:val="0"/>
      <w:marBottom w:val="0"/>
      <w:divBdr>
        <w:top w:val="none" w:sz="0" w:space="0" w:color="auto"/>
        <w:left w:val="none" w:sz="0" w:space="0" w:color="auto"/>
        <w:bottom w:val="none" w:sz="0" w:space="0" w:color="auto"/>
        <w:right w:val="none" w:sz="0" w:space="0" w:color="auto"/>
      </w:divBdr>
    </w:div>
    <w:div w:id="1492256108">
      <w:bodyDiv w:val="1"/>
      <w:marLeft w:val="0"/>
      <w:marRight w:val="0"/>
      <w:marTop w:val="0"/>
      <w:marBottom w:val="0"/>
      <w:divBdr>
        <w:top w:val="none" w:sz="0" w:space="0" w:color="auto"/>
        <w:left w:val="none" w:sz="0" w:space="0" w:color="auto"/>
        <w:bottom w:val="none" w:sz="0" w:space="0" w:color="auto"/>
        <w:right w:val="none" w:sz="0" w:space="0" w:color="auto"/>
      </w:divBdr>
    </w:div>
    <w:div w:id="1675691359">
      <w:bodyDiv w:val="1"/>
      <w:marLeft w:val="0"/>
      <w:marRight w:val="0"/>
      <w:marTop w:val="0"/>
      <w:marBottom w:val="0"/>
      <w:divBdr>
        <w:top w:val="none" w:sz="0" w:space="0" w:color="auto"/>
        <w:left w:val="none" w:sz="0" w:space="0" w:color="auto"/>
        <w:bottom w:val="none" w:sz="0" w:space="0" w:color="auto"/>
        <w:right w:val="none" w:sz="0" w:space="0" w:color="auto"/>
      </w:divBdr>
    </w:div>
    <w:div w:id="1834491766">
      <w:bodyDiv w:val="1"/>
      <w:marLeft w:val="0"/>
      <w:marRight w:val="0"/>
      <w:marTop w:val="0"/>
      <w:marBottom w:val="0"/>
      <w:divBdr>
        <w:top w:val="none" w:sz="0" w:space="0" w:color="auto"/>
        <w:left w:val="none" w:sz="0" w:space="0" w:color="auto"/>
        <w:bottom w:val="none" w:sz="0" w:space="0" w:color="auto"/>
        <w:right w:val="none" w:sz="0" w:space="0" w:color="auto"/>
      </w:divBdr>
    </w:div>
    <w:div w:id="1969701204">
      <w:bodyDiv w:val="1"/>
      <w:marLeft w:val="0"/>
      <w:marRight w:val="0"/>
      <w:marTop w:val="0"/>
      <w:marBottom w:val="0"/>
      <w:divBdr>
        <w:top w:val="none" w:sz="0" w:space="0" w:color="auto"/>
        <w:left w:val="none" w:sz="0" w:space="0" w:color="auto"/>
        <w:bottom w:val="none" w:sz="0" w:space="0" w:color="auto"/>
        <w:right w:val="none" w:sz="0" w:space="0" w:color="auto"/>
      </w:divBdr>
    </w:div>
    <w:div w:id="2075275590">
      <w:bodyDiv w:val="1"/>
      <w:marLeft w:val="0"/>
      <w:marRight w:val="0"/>
      <w:marTop w:val="0"/>
      <w:marBottom w:val="0"/>
      <w:divBdr>
        <w:top w:val="none" w:sz="0" w:space="0" w:color="auto"/>
        <w:left w:val="none" w:sz="0" w:space="0" w:color="auto"/>
        <w:bottom w:val="none" w:sz="0" w:space="0" w:color="auto"/>
        <w:right w:val="none" w:sz="0" w:space="0" w:color="auto"/>
      </w:divBdr>
    </w:div>
    <w:div w:id="2083215249">
      <w:bodyDiv w:val="1"/>
      <w:marLeft w:val="0"/>
      <w:marRight w:val="0"/>
      <w:marTop w:val="0"/>
      <w:marBottom w:val="0"/>
      <w:divBdr>
        <w:top w:val="none" w:sz="0" w:space="0" w:color="auto"/>
        <w:left w:val="none" w:sz="0" w:space="0" w:color="auto"/>
        <w:bottom w:val="none" w:sz="0" w:space="0" w:color="auto"/>
        <w:right w:val="none" w:sz="0" w:space="0" w:color="auto"/>
      </w:divBdr>
    </w:div>
    <w:div w:id="21383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misweb.co.uk/query/construct/summary.asp?reset=yes&amp;mode=construct&amp;dataset=30&amp;version=0&amp;anal=1&amp;inits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misweb.co.uk/reports/lmp/la/content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65666-88E3-4639-A8BB-E20422C7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2815</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THE PROCESS OF REVIEW</vt:lpstr>
    </vt:vector>
  </TitlesOfParts>
  <Company>Microsoft</Company>
  <LinksUpToDate>false</LinksUpToDate>
  <CharactersWithSpaces>18906</CharactersWithSpaces>
  <SharedDoc>false</SharedDoc>
  <HLinks>
    <vt:vector size="6" baseType="variant">
      <vt:variant>
        <vt:i4>7929962</vt:i4>
      </vt:variant>
      <vt:variant>
        <vt:i4>0</vt:i4>
      </vt:variant>
      <vt:variant>
        <vt:i4>0</vt:i4>
      </vt:variant>
      <vt:variant>
        <vt:i4>5</vt:i4>
      </vt:variant>
      <vt:variant>
        <vt:lpwstr>http://www.ons.gov.uk/ons/publications/re-reference-tables.html?edition=tcm%3A77-400803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REVIEW</dc:title>
  <dc:creator>DAYLING</dc:creator>
  <cp:lastModifiedBy>Lisa Perks</cp:lastModifiedBy>
  <cp:revision>3</cp:revision>
  <cp:lastPrinted>2018-11-13T10:41:00Z</cp:lastPrinted>
  <dcterms:created xsi:type="dcterms:W3CDTF">2020-12-09T16:42:00Z</dcterms:created>
  <dcterms:modified xsi:type="dcterms:W3CDTF">2021-07-13T12:30:00Z</dcterms:modified>
</cp:coreProperties>
</file>