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F8EB" w14:textId="7317368B" w:rsidR="00405A9A" w:rsidRDefault="00745EF9" w:rsidP="00C60FB0">
      <w:pPr>
        <w:numPr>
          <w:ilvl w:val="0"/>
          <w:numId w:val="0"/>
        </w:numPr>
        <w:ind w:left="720" w:hanging="360"/>
        <w:jc w:val="right"/>
      </w:pPr>
      <w:r w:rsidRPr="00192665">
        <w:rPr>
          <w:rFonts w:eastAsia="Times New Roman" w:cs="Times New Roman"/>
          <w:noProof/>
          <w:szCs w:val="20"/>
          <w:lang w:eastAsia="en-GB"/>
        </w:rPr>
        <w:drawing>
          <wp:inline distT="0" distB="0" distL="0" distR="0" wp14:anchorId="5C946655" wp14:editId="4426C430">
            <wp:extent cx="1266825" cy="904875"/>
            <wp:effectExtent l="0" t="0" r="9525" b="9525"/>
            <wp:docPr id="2" name="Picture 2" descr="Malvern Hill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lvern Hills District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pic:spPr>
                </pic:pic>
              </a:graphicData>
            </a:graphic>
          </wp:inline>
        </w:drawing>
      </w:r>
      <w:r w:rsidR="00227C45">
        <w:tab/>
      </w:r>
      <w:r w:rsidR="00227C45">
        <w:tab/>
      </w:r>
    </w:p>
    <w:p w14:paraId="1377970F" w14:textId="7F58103D" w:rsidR="00834C82" w:rsidRPr="00563A5F" w:rsidRDefault="0095565B" w:rsidP="00C60FB0">
      <w:pPr>
        <w:pStyle w:val="Heading1"/>
        <w:numPr>
          <w:ilvl w:val="0"/>
          <w:numId w:val="0"/>
        </w:numPr>
      </w:pPr>
      <w:r>
        <w:t>EXECUTIVE</w:t>
      </w:r>
      <w:r w:rsidR="00AA68D6">
        <w:t xml:space="preserve"> COMMITTEE</w:t>
      </w:r>
      <w:r w:rsidR="00737E9E">
        <w:t xml:space="preserve"> </w:t>
      </w:r>
    </w:p>
    <w:p w14:paraId="7E72320A" w14:textId="46D26857" w:rsidR="00301CBF" w:rsidRDefault="0095565B" w:rsidP="00C60FB0">
      <w:pPr>
        <w:numPr>
          <w:ilvl w:val="0"/>
          <w:numId w:val="0"/>
        </w:numPr>
      </w:pPr>
      <w:r>
        <w:t>24 MAY 2022</w:t>
      </w:r>
    </w:p>
    <w:p w14:paraId="7504807C" w14:textId="7C1CCF2E" w:rsidR="00301CBF" w:rsidRPr="00737E9E" w:rsidRDefault="002E4F0D" w:rsidP="00737E9E">
      <w:pPr>
        <w:pStyle w:val="Heading2"/>
        <w:numPr>
          <w:ilvl w:val="0"/>
          <w:numId w:val="0"/>
        </w:numPr>
        <w:ind w:left="360" w:hanging="360"/>
      </w:pPr>
      <w:r>
        <w:t>ANNUAL PERFORMANCE REPORT 2021/22</w:t>
      </w:r>
    </w:p>
    <w:p w14:paraId="2A70D228" w14:textId="0E5CE182" w:rsidR="00F44800" w:rsidRPr="00AA68D6" w:rsidRDefault="000245A6" w:rsidP="00C60FB0">
      <w:pPr>
        <w:pStyle w:val="Heading3"/>
        <w:numPr>
          <w:ilvl w:val="0"/>
          <w:numId w:val="0"/>
        </w:numPr>
        <w:rPr>
          <w:b w:val="0"/>
          <w:bCs/>
        </w:rPr>
      </w:pPr>
      <w:r w:rsidRPr="000814B0">
        <w:t>Relevant wards</w:t>
      </w:r>
      <w:r w:rsidR="000814B0" w:rsidRPr="000814B0">
        <w:t xml:space="preserve">: </w:t>
      </w:r>
      <w:r w:rsidR="002E4F0D" w:rsidRPr="002E4F0D">
        <w:rPr>
          <w:b w:val="0"/>
          <w:bCs/>
        </w:rPr>
        <w:t>All wards</w:t>
      </w:r>
    </w:p>
    <w:p w14:paraId="5C614F2A" w14:textId="3157DE19" w:rsidR="000245A6" w:rsidRPr="00737E9E" w:rsidRDefault="000245A6" w:rsidP="00C60FB0">
      <w:pPr>
        <w:pStyle w:val="Heading3"/>
        <w:numPr>
          <w:ilvl w:val="0"/>
          <w:numId w:val="0"/>
        </w:numPr>
        <w:rPr>
          <w:b w:val="0"/>
          <w:bCs/>
        </w:rPr>
      </w:pPr>
      <w:r w:rsidRPr="000814B0">
        <w:t>Portfolio holder</w:t>
      </w:r>
      <w:r w:rsidR="000814B0" w:rsidRPr="000814B0">
        <w:t xml:space="preserve">: </w:t>
      </w:r>
      <w:r w:rsidR="002E4F0D" w:rsidRPr="002E4F0D">
        <w:rPr>
          <w:b w:val="0"/>
          <w:bCs/>
        </w:rPr>
        <w:t>Cllr Peter Whatley</w:t>
      </w:r>
    </w:p>
    <w:p w14:paraId="07C312E5" w14:textId="538FCEF0" w:rsidR="000245A6" w:rsidRPr="00737E9E" w:rsidRDefault="000245A6" w:rsidP="00C60FB0">
      <w:pPr>
        <w:pStyle w:val="Heading3"/>
        <w:numPr>
          <w:ilvl w:val="0"/>
          <w:numId w:val="0"/>
        </w:numPr>
        <w:rPr>
          <w:b w:val="0"/>
          <w:bCs/>
        </w:rPr>
      </w:pPr>
      <w:r w:rsidRPr="000814B0">
        <w:t>Head of Service</w:t>
      </w:r>
      <w:r w:rsidR="000814B0" w:rsidRPr="000814B0">
        <w:t xml:space="preserve">: </w:t>
      </w:r>
      <w:r w:rsidR="002E4F0D" w:rsidRPr="002E4F0D">
        <w:rPr>
          <w:b w:val="0"/>
          <w:bCs/>
        </w:rPr>
        <w:t>Deputy Chief Executive – Andy Baldwin</w:t>
      </w:r>
    </w:p>
    <w:p w14:paraId="5A9697DC" w14:textId="3B19A2D9" w:rsidR="00810166" w:rsidRDefault="000245A6" w:rsidP="00810166">
      <w:pPr>
        <w:pStyle w:val="Heading3"/>
        <w:numPr>
          <w:ilvl w:val="0"/>
          <w:numId w:val="0"/>
        </w:numPr>
        <w:rPr>
          <w:b w:val="0"/>
          <w:bCs/>
        </w:rPr>
      </w:pPr>
      <w:r w:rsidRPr="000814B0">
        <w:t>Contact officer</w:t>
      </w:r>
      <w:r w:rsidR="000814B0" w:rsidRPr="000814B0">
        <w:t xml:space="preserve">: </w:t>
      </w:r>
      <w:r w:rsidR="002E4F0D" w:rsidRPr="002E4F0D">
        <w:rPr>
          <w:b w:val="0"/>
          <w:bCs/>
        </w:rPr>
        <w:t>Head of Finance, Strategy and Performance – Becky Floyd</w:t>
      </w:r>
    </w:p>
    <w:p w14:paraId="1CAA90F5" w14:textId="14A4F239" w:rsidR="00810166" w:rsidRPr="00810166" w:rsidRDefault="00810166" w:rsidP="00810166">
      <w:pPr>
        <w:numPr>
          <w:ilvl w:val="0"/>
          <w:numId w:val="0"/>
        </w:numPr>
        <w:rPr>
          <w:b/>
          <w:bCs/>
        </w:rPr>
      </w:pPr>
      <w:r w:rsidRPr="00810166">
        <w:rPr>
          <w:b/>
          <w:bCs/>
        </w:rPr>
        <w:t>If you have any questions about this report</w:t>
      </w:r>
      <w:r w:rsidR="00415923">
        <w:rPr>
          <w:b/>
          <w:bCs/>
        </w:rPr>
        <w:t xml:space="preserve">, </w:t>
      </w:r>
      <w:r w:rsidRPr="00810166">
        <w:rPr>
          <w:b/>
          <w:bCs/>
        </w:rPr>
        <w:t>please contact the portfolio holder or the contact officer.</w:t>
      </w:r>
    </w:p>
    <w:p w14:paraId="5F516FB6" w14:textId="36B0C12B" w:rsidR="00C60FB0" w:rsidRDefault="000245A6" w:rsidP="00C60FB0">
      <w:pPr>
        <w:pStyle w:val="Heading2"/>
      </w:pPr>
      <w:r w:rsidRPr="00737E9E">
        <w:t>Purpose and summary</w:t>
      </w:r>
    </w:p>
    <w:p w14:paraId="35EF5A13" w14:textId="581CC94B" w:rsidR="00C60FB0" w:rsidRDefault="00C60FB0" w:rsidP="00C60FB0">
      <w:r>
        <w:t xml:space="preserve"> </w:t>
      </w:r>
      <w:r w:rsidR="002E4F0D" w:rsidRPr="00A81AAA">
        <w:rPr>
          <w:rFonts w:cs="Arial"/>
          <w:szCs w:val="24"/>
        </w:rPr>
        <w:t>To inform the committee of the latest council performance at the end of year 202</w:t>
      </w:r>
      <w:r w:rsidR="002E4F0D">
        <w:rPr>
          <w:rFonts w:cs="Arial"/>
          <w:szCs w:val="24"/>
        </w:rPr>
        <w:t>1</w:t>
      </w:r>
      <w:r w:rsidR="002E4F0D" w:rsidRPr="00A81AAA">
        <w:rPr>
          <w:rFonts w:cs="Arial"/>
          <w:szCs w:val="24"/>
        </w:rPr>
        <w:t>/2</w:t>
      </w:r>
      <w:r w:rsidR="002E4F0D">
        <w:rPr>
          <w:rFonts w:cs="Arial"/>
          <w:szCs w:val="24"/>
        </w:rPr>
        <w:t>2.</w:t>
      </w:r>
    </w:p>
    <w:p w14:paraId="0773BB62" w14:textId="24FEA56B" w:rsidR="00C60FB0" w:rsidRDefault="00C60FB0" w:rsidP="00C60FB0">
      <w:r>
        <w:t xml:space="preserve"> </w:t>
      </w:r>
      <w:r w:rsidR="002E4F0D" w:rsidRPr="00A81AAA">
        <w:rPr>
          <w:rFonts w:cs="Arial"/>
          <w:szCs w:val="24"/>
        </w:rPr>
        <w:t>To advise the committee of the strategic issues and risks facing the council which reflect the existing and future financial and organisational pressures on the council</w:t>
      </w:r>
      <w:r w:rsidR="002E4F0D">
        <w:t>.</w:t>
      </w:r>
    </w:p>
    <w:p w14:paraId="36E35421" w14:textId="32EA7FE3" w:rsidR="00474801" w:rsidRDefault="000245A6" w:rsidP="00737E9E">
      <w:pPr>
        <w:pStyle w:val="Heading2"/>
      </w:pPr>
      <w:r w:rsidRPr="00737E9E">
        <w:t>Recommendations</w:t>
      </w:r>
    </w:p>
    <w:p w14:paraId="6938E966" w14:textId="36A009F3" w:rsidR="00C60FB0" w:rsidRPr="00445485" w:rsidRDefault="00445485" w:rsidP="00445485">
      <w:pPr>
        <w:pStyle w:val="ListParagraph"/>
        <w:numPr>
          <w:ilvl w:val="0"/>
          <w:numId w:val="0"/>
        </w:numPr>
        <w:spacing w:after="120" w:line="240" w:lineRule="auto"/>
        <w:ind w:left="1080" w:hanging="513"/>
        <w:contextualSpacing w:val="0"/>
        <w:rPr>
          <w:b/>
          <w:bCs/>
        </w:rPr>
      </w:pPr>
      <w:proofErr w:type="spellStart"/>
      <w:r w:rsidRPr="00445485">
        <w:rPr>
          <w:rFonts w:cs="Arial"/>
          <w:b/>
          <w:bCs/>
          <w:szCs w:val="24"/>
        </w:rPr>
        <w:t>i</w:t>
      </w:r>
      <w:proofErr w:type="spellEnd"/>
      <w:r w:rsidRPr="00445485">
        <w:rPr>
          <w:rFonts w:cs="Arial"/>
          <w:b/>
          <w:bCs/>
          <w:szCs w:val="24"/>
        </w:rPr>
        <w:t xml:space="preserve">) </w:t>
      </w:r>
      <w:r>
        <w:rPr>
          <w:rFonts w:cs="Arial"/>
          <w:b/>
          <w:bCs/>
          <w:szCs w:val="24"/>
        </w:rPr>
        <w:tab/>
      </w:r>
      <w:r w:rsidR="002E4F0D" w:rsidRPr="00445485">
        <w:rPr>
          <w:rFonts w:cs="Arial"/>
          <w:b/>
          <w:bCs/>
          <w:szCs w:val="24"/>
        </w:rPr>
        <w:t>The achievements and improvements in performance be noted;</w:t>
      </w:r>
    </w:p>
    <w:p w14:paraId="3E5A0CF9" w14:textId="0C70BD17" w:rsidR="00C60FB0" w:rsidRPr="00445485" w:rsidRDefault="002E4F0D" w:rsidP="00445485">
      <w:pPr>
        <w:pStyle w:val="ListParagraph"/>
        <w:numPr>
          <w:ilvl w:val="2"/>
          <w:numId w:val="16"/>
        </w:numPr>
        <w:spacing w:after="120" w:line="240" w:lineRule="auto"/>
        <w:ind w:hanging="513"/>
        <w:contextualSpacing w:val="0"/>
        <w:rPr>
          <w:b/>
          <w:bCs/>
        </w:rPr>
      </w:pPr>
      <w:r w:rsidRPr="00445485">
        <w:rPr>
          <w:rFonts w:cs="Arial"/>
          <w:b/>
          <w:bCs/>
          <w:szCs w:val="24"/>
        </w:rPr>
        <w:t>The strategic issues raised in section 4 be addressed;</w:t>
      </w:r>
    </w:p>
    <w:p w14:paraId="52EFD9A8" w14:textId="7608917A" w:rsidR="00C60FB0" w:rsidRPr="00445485" w:rsidRDefault="002E4F0D" w:rsidP="00445485">
      <w:pPr>
        <w:pStyle w:val="ListParagraph"/>
        <w:numPr>
          <w:ilvl w:val="2"/>
          <w:numId w:val="16"/>
        </w:numPr>
        <w:spacing w:after="120" w:line="240" w:lineRule="auto"/>
        <w:ind w:hanging="513"/>
        <w:contextualSpacing w:val="0"/>
        <w:rPr>
          <w:b/>
          <w:bCs/>
        </w:rPr>
      </w:pPr>
      <w:r w:rsidRPr="00445485">
        <w:rPr>
          <w:rFonts w:cs="Arial"/>
          <w:b/>
          <w:bCs/>
          <w:szCs w:val="24"/>
        </w:rPr>
        <w:t>Executive Committee thank staff for the outcomes of their efforts</w:t>
      </w:r>
      <w:r w:rsidRPr="00445485">
        <w:rPr>
          <w:b/>
          <w:bCs/>
        </w:rPr>
        <w:t>.</w:t>
      </w:r>
    </w:p>
    <w:p w14:paraId="27663E5F" w14:textId="4574A549" w:rsidR="00AA68D6" w:rsidRDefault="000245A6" w:rsidP="00737E9E">
      <w:pPr>
        <w:pStyle w:val="Heading2"/>
      </w:pPr>
      <w:r w:rsidRPr="00737E9E">
        <w:t>Background</w:t>
      </w:r>
    </w:p>
    <w:p w14:paraId="26F5B19F" w14:textId="2E886707" w:rsidR="00C60FB0" w:rsidRDefault="002E4F0D" w:rsidP="00A457F2">
      <w:pPr>
        <w:spacing w:after="120" w:line="240" w:lineRule="auto"/>
        <w:ind w:left="567" w:hanging="567"/>
        <w:jc w:val="both"/>
      </w:pPr>
      <w:r w:rsidRPr="00A81AAA">
        <w:rPr>
          <w:rFonts w:cs="Arial"/>
          <w:szCs w:val="24"/>
        </w:rPr>
        <w:t xml:space="preserve">The Performance Management Framework provides for the quarterly review of corporate performance at a strategic level. It is informed by data from a variety of independent public sources, the council’s own performance management system and progress reports Heads of Service. Appendix 1a of this report </w:t>
      </w:r>
      <w:r w:rsidRPr="00A81AAA">
        <w:rPr>
          <w:rFonts w:cs="Arial"/>
          <w:szCs w:val="24"/>
        </w:rPr>
        <w:lastRenderedPageBreak/>
        <w:t>provides the council’s performance measures for 202</w:t>
      </w:r>
      <w:r>
        <w:rPr>
          <w:rFonts w:cs="Arial"/>
          <w:szCs w:val="24"/>
        </w:rPr>
        <w:t>1</w:t>
      </w:r>
      <w:r w:rsidRPr="00A81AAA">
        <w:rPr>
          <w:rFonts w:cs="Arial"/>
          <w:szCs w:val="24"/>
        </w:rPr>
        <w:t>/2</w:t>
      </w:r>
      <w:r>
        <w:rPr>
          <w:rFonts w:cs="Arial"/>
          <w:szCs w:val="24"/>
        </w:rPr>
        <w:t>2</w:t>
      </w:r>
      <w:r w:rsidRPr="00A81AAA">
        <w:rPr>
          <w:rFonts w:cs="Arial"/>
          <w:szCs w:val="24"/>
        </w:rPr>
        <w:t>, as well as an update on workload/volumes (appendix 1b</w:t>
      </w:r>
      <w:r>
        <w:rPr>
          <w:rFonts w:cs="Arial"/>
          <w:szCs w:val="24"/>
        </w:rPr>
        <w:t>).</w:t>
      </w:r>
    </w:p>
    <w:p w14:paraId="338CC05B" w14:textId="41E53EBA" w:rsidR="00C60FB0" w:rsidRDefault="002E4F0D" w:rsidP="00A457F2">
      <w:pPr>
        <w:spacing w:after="120" w:line="240" w:lineRule="auto"/>
        <w:ind w:left="567" w:hanging="567"/>
        <w:jc w:val="both"/>
      </w:pPr>
      <w:r w:rsidRPr="00A81AAA">
        <w:rPr>
          <w:rFonts w:cs="Arial"/>
          <w:szCs w:val="24"/>
        </w:rPr>
        <w:t>The Five Year Plan (Appendix 2) has been updated wherever possible to provide performance up to the end of Q4 for the full financial year. The 20</w:t>
      </w:r>
      <w:r>
        <w:rPr>
          <w:rFonts w:cs="Arial"/>
          <w:szCs w:val="24"/>
        </w:rPr>
        <w:t>22</w:t>
      </w:r>
      <w:r w:rsidRPr="00A81AAA">
        <w:rPr>
          <w:rFonts w:cs="Arial"/>
          <w:szCs w:val="24"/>
        </w:rPr>
        <w:t>/2</w:t>
      </w:r>
      <w:r>
        <w:rPr>
          <w:rFonts w:cs="Arial"/>
          <w:szCs w:val="24"/>
        </w:rPr>
        <w:t>3</w:t>
      </w:r>
      <w:r w:rsidRPr="00A81AAA">
        <w:rPr>
          <w:rFonts w:cs="Arial"/>
          <w:szCs w:val="24"/>
        </w:rPr>
        <w:t xml:space="preserve"> update of the Five Year Plan was approved in Q4</w:t>
      </w:r>
      <w:r>
        <w:rPr>
          <w:rFonts w:cs="Arial"/>
          <w:szCs w:val="24"/>
        </w:rPr>
        <w:t>.</w:t>
      </w:r>
      <w:r w:rsidRPr="00A81AAA">
        <w:rPr>
          <w:rFonts w:cs="Arial"/>
          <w:szCs w:val="24"/>
        </w:rPr>
        <w:t xml:space="preserve"> </w:t>
      </w:r>
    </w:p>
    <w:p w14:paraId="1C2B16B8" w14:textId="41508DB2" w:rsidR="00C60FB0" w:rsidRDefault="002E4F0D" w:rsidP="00313A60">
      <w:pPr>
        <w:ind w:left="567" w:hanging="567"/>
        <w:jc w:val="both"/>
      </w:pPr>
      <w:r w:rsidRPr="00B6671D">
        <w:rPr>
          <w:rFonts w:cs="Arial"/>
          <w:szCs w:val="24"/>
        </w:rPr>
        <w:t xml:space="preserve">The continued strong performance in </w:t>
      </w:r>
      <w:r w:rsidR="00D16F44">
        <w:rPr>
          <w:rFonts w:cs="Arial"/>
          <w:szCs w:val="24"/>
        </w:rPr>
        <w:t>the proportion of missed bins,</w:t>
      </w:r>
      <w:r w:rsidR="00D16F44" w:rsidRPr="0051573E">
        <w:rPr>
          <w:rFonts w:cs="Arial"/>
          <w:szCs w:val="24"/>
        </w:rPr>
        <w:t xml:space="preserve"> </w:t>
      </w:r>
      <w:r w:rsidRPr="0051573E">
        <w:rPr>
          <w:rFonts w:cs="Arial"/>
          <w:szCs w:val="24"/>
        </w:rPr>
        <w:t xml:space="preserve">numbers of green waste customers, </w:t>
      </w:r>
      <w:r w:rsidRPr="001744F0">
        <w:rPr>
          <w:rFonts w:cs="Arial"/>
          <w:szCs w:val="24"/>
        </w:rPr>
        <w:t>numbers of affordable new homes delivered</w:t>
      </w:r>
      <w:r w:rsidRPr="0051573E">
        <w:rPr>
          <w:rFonts w:cs="Arial"/>
          <w:szCs w:val="24"/>
        </w:rPr>
        <w:t xml:space="preserve">, </w:t>
      </w:r>
      <w:r w:rsidR="0051573E" w:rsidRPr="0051573E">
        <w:rPr>
          <w:rFonts w:cs="Arial"/>
          <w:szCs w:val="24"/>
        </w:rPr>
        <w:t>Council Tax collection rates</w:t>
      </w:r>
      <w:r w:rsidRPr="005923A8">
        <w:rPr>
          <w:rFonts w:cs="Arial"/>
          <w:szCs w:val="24"/>
        </w:rPr>
        <w:t xml:space="preserve">, and the Covid-19 support provided to residents and businesses are welcomed. </w:t>
      </w:r>
      <w:r w:rsidRPr="007E6077">
        <w:rPr>
          <w:rFonts w:cs="Arial"/>
          <w:szCs w:val="24"/>
        </w:rPr>
        <w:t>Where under-perform</w:t>
      </w:r>
      <w:r w:rsidRPr="00ED72E5">
        <w:rPr>
          <w:rFonts w:cs="Arial"/>
          <w:szCs w:val="24"/>
        </w:rPr>
        <w:t xml:space="preserve">ance has been identified, it </w:t>
      </w:r>
      <w:r w:rsidRPr="002F3EE9">
        <w:rPr>
          <w:rFonts w:cs="Arial"/>
          <w:szCs w:val="24"/>
        </w:rPr>
        <w:t>has been, or is being, addressed as a matter of urgency</w:t>
      </w:r>
      <w:r>
        <w:rPr>
          <w:rFonts w:cs="Arial"/>
          <w:szCs w:val="24"/>
        </w:rPr>
        <w:t>.</w:t>
      </w:r>
    </w:p>
    <w:p w14:paraId="35FFDA3B" w14:textId="22C78EB3" w:rsidR="002E4F0D" w:rsidRDefault="002E4F0D" w:rsidP="002E4F0D">
      <w:pPr>
        <w:pStyle w:val="Heading2"/>
      </w:pPr>
      <w:r>
        <w:t>Strategic Issues and Risks</w:t>
      </w:r>
    </w:p>
    <w:p w14:paraId="1F0D499C" w14:textId="77777777" w:rsidR="002E4F0D" w:rsidRPr="002E4F0D" w:rsidRDefault="002E4F0D" w:rsidP="00F063BB">
      <w:pPr>
        <w:pStyle w:val="Heading3"/>
        <w:rPr>
          <w:rFonts w:cstheme="minorBidi"/>
          <w:szCs w:val="22"/>
        </w:rPr>
      </w:pPr>
      <w:r>
        <w:t xml:space="preserve"> </w:t>
      </w:r>
      <w:r w:rsidRPr="002E4F0D">
        <w:t>South Worcestershire Development Plan Review (SWDPR)</w:t>
      </w:r>
    </w:p>
    <w:p w14:paraId="51645168" w14:textId="6266B571" w:rsidR="00D16F44" w:rsidRPr="001744F0" w:rsidRDefault="00640C0A" w:rsidP="00A457F2">
      <w:pPr>
        <w:numPr>
          <w:ilvl w:val="2"/>
          <w:numId w:val="7"/>
        </w:numPr>
        <w:spacing w:after="120" w:line="240" w:lineRule="auto"/>
        <w:ind w:left="567" w:hanging="567"/>
        <w:jc w:val="both"/>
        <w:rPr>
          <w:rFonts w:cs="Arial"/>
          <w:bCs/>
          <w:szCs w:val="24"/>
        </w:rPr>
      </w:pPr>
      <w:r>
        <w:rPr>
          <w:rFonts w:cs="Arial"/>
          <w:szCs w:val="24"/>
        </w:rPr>
        <w:t>During the</w:t>
      </w:r>
      <w:r>
        <w:rPr>
          <w:rFonts w:cs="Arial"/>
          <w:bCs/>
          <w:szCs w:val="24"/>
        </w:rPr>
        <w:t xml:space="preserve"> course of 2021/22 it has been necessary to further amend the timetable for the </w:t>
      </w:r>
      <w:r w:rsidR="00313A60">
        <w:rPr>
          <w:rFonts w:cs="Arial"/>
          <w:bCs/>
          <w:szCs w:val="24"/>
        </w:rPr>
        <w:t>SWDP</w:t>
      </w:r>
      <w:r>
        <w:rPr>
          <w:rFonts w:cs="Arial"/>
          <w:bCs/>
          <w:szCs w:val="24"/>
        </w:rPr>
        <w:t xml:space="preserve">. A revised Local Development </w:t>
      </w:r>
      <w:r w:rsidRPr="001744F0">
        <w:rPr>
          <w:rFonts w:cs="Arial"/>
          <w:bCs/>
          <w:szCs w:val="24"/>
        </w:rPr>
        <w:t xml:space="preserve">Scheme (LDS) </w:t>
      </w:r>
      <w:r w:rsidR="001D5C8F" w:rsidRPr="001744F0">
        <w:rPr>
          <w:rFonts w:cs="Arial"/>
          <w:bCs/>
          <w:szCs w:val="24"/>
        </w:rPr>
        <w:t xml:space="preserve">earlier in the year </w:t>
      </w:r>
      <w:r w:rsidRPr="001744F0">
        <w:rPr>
          <w:rFonts w:cs="Arial"/>
          <w:bCs/>
          <w:szCs w:val="24"/>
        </w:rPr>
        <w:t xml:space="preserve">allowed time to progress the Infrastructure Delivery Plan and viability evidence required to support the Plan and also to move the consideration of the </w:t>
      </w:r>
      <w:r w:rsidR="00B252B2" w:rsidRPr="001744F0">
        <w:rPr>
          <w:rFonts w:cs="Arial"/>
          <w:bCs/>
          <w:szCs w:val="24"/>
        </w:rPr>
        <w:t xml:space="preserve">Gypsy, </w:t>
      </w:r>
      <w:r w:rsidRPr="001744F0">
        <w:rPr>
          <w:rFonts w:cs="Arial"/>
          <w:bCs/>
          <w:szCs w:val="24"/>
        </w:rPr>
        <w:t>Traveller</w:t>
      </w:r>
      <w:r w:rsidR="00B252B2" w:rsidRPr="001744F0">
        <w:rPr>
          <w:rFonts w:cs="Arial"/>
          <w:bCs/>
          <w:szCs w:val="24"/>
        </w:rPr>
        <w:t xml:space="preserve"> and Travelling </w:t>
      </w:r>
      <w:proofErr w:type="spellStart"/>
      <w:r w:rsidR="00B252B2" w:rsidRPr="001744F0">
        <w:rPr>
          <w:rFonts w:cs="Arial"/>
          <w:bCs/>
          <w:szCs w:val="24"/>
        </w:rPr>
        <w:t>ShowPeople</w:t>
      </w:r>
      <w:proofErr w:type="spellEnd"/>
      <w:r w:rsidR="00B252B2" w:rsidRPr="001744F0">
        <w:rPr>
          <w:rFonts w:cs="Arial"/>
          <w:bCs/>
          <w:szCs w:val="24"/>
        </w:rPr>
        <w:t xml:space="preserve"> (GT&amp;TSP) </w:t>
      </w:r>
      <w:r w:rsidRPr="001744F0">
        <w:rPr>
          <w:rFonts w:cs="Arial"/>
          <w:bCs/>
          <w:szCs w:val="24"/>
        </w:rPr>
        <w:t>D</w:t>
      </w:r>
      <w:r w:rsidR="001D5C8F" w:rsidRPr="001744F0">
        <w:rPr>
          <w:rFonts w:cs="Arial"/>
          <w:bCs/>
          <w:szCs w:val="24"/>
        </w:rPr>
        <w:t xml:space="preserve">evelopment </w:t>
      </w:r>
      <w:r w:rsidRPr="001744F0">
        <w:rPr>
          <w:rFonts w:cs="Arial"/>
          <w:bCs/>
          <w:szCs w:val="24"/>
        </w:rPr>
        <w:t>P</w:t>
      </w:r>
      <w:r w:rsidR="001D5C8F" w:rsidRPr="001744F0">
        <w:rPr>
          <w:rFonts w:cs="Arial"/>
          <w:bCs/>
          <w:szCs w:val="24"/>
        </w:rPr>
        <w:t xml:space="preserve">lan </w:t>
      </w:r>
      <w:r w:rsidRPr="001744F0">
        <w:rPr>
          <w:rFonts w:cs="Arial"/>
          <w:bCs/>
          <w:szCs w:val="24"/>
        </w:rPr>
        <w:t>D</w:t>
      </w:r>
      <w:r w:rsidR="001D5C8F" w:rsidRPr="001744F0">
        <w:rPr>
          <w:rFonts w:cs="Arial"/>
          <w:bCs/>
          <w:szCs w:val="24"/>
        </w:rPr>
        <w:t>ocument (DPD)</w:t>
      </w:r>
      <w:r w:rsidRPr="001744F0">
        <w:rPr>
          <w:rFonts w:cs="Arial"/>
          <w:bCs/>
          <w:szCs w:val="24"/>
        </w:rPr>
        <w:t>.</w:t>
      </w:r>
    </w:p>
    <w:p w14:paraId="0DC088B7" w14:textId="0320EFCF" w:rsidR="00640C0A" w:rsidRPr="001744F0" w:rsidRDefault="00640C0A" w:rsidP="00A457F2">
      <w:pPr>
        <w:numPr>
          <w:ilvl w:val="2"/>
          <w:numId w:val="7"/>
        </w:numPr>
        <w:spacing w:after="120" w:line="240" w:lineRule="auto"/>
        <w:ind w:left="567" w:hanging="567"/>
        <w:jc w:val="both"/>
        <w:rPr>
          <w:rFonts w:cs="Arial"/>
          <w:bCs/>
          <w:szCs w:val="24"/>
        </w:rPr>
      </w:pPr>
      <w:r w:rsidRPr="001744F0">
        <w:rPr>
          <w:rFonts w:cs="Arial"/>
          <w:bCs/>
          <w:szCs w:val="24"/>
        </w:rPr>
        <w:t>Most</w:t>
      </w:r>
      <w:r w:rsidRPr="001744F0">
        <w:rPr>
          <w:rFonts w:cs="Arial"/>
          <w:szCs w:val="24"/>
        </w:rPr>
        <w:t xml:space="preserve"> of</w:t>
      </w:r>
      <w:r w:rsidRPr="001744F0">
        <w:rPr>
          <w:rFonts w:cs="Arial"/>
          <w:bCs/>
          <w:szCs w:val="24"/>
        </w:rPr>
        <w:t xml:space="preserve"> the work to support the SWDPR is complete and a full draft of the </w:t>
      </w:r>
      <w:r w:rsidR="00313A60" w:rsidRPr="001744F0">
        <w:rPr>
          <w:rFonts w:cs="Arial"/>
          <w:bCs/>
          <w:szCs w:val="24"/>
        </w:rPr>
        <w:t>SWDP</w:t>
      </w:r>
      <w:r w:rsidRPr="001744F0">
        <w:rPr>
          <w:rFonts w:cs="Arial"/>
          <w:bCs/>
          <w:szCs w:val="24"/>
        </w:rPr>
        <w:t xml:space="preserve"> has been circulated to all Councillors in Q4. There are outstanding reports which link to viability and infrastructure which are being finalised with support from external consultants. </w:t>
      </w:r>
    </w:p>
    <w:p w14:paraId="7FF14F55" w14:textId="003E60B1" w:rsidR="00D16F44" w:rsidRPr="001744F0" w:rsidRDefault="00640C0A" w:rsidP="00A64C33">
      <w:pPr>
        <w:numPr>
          <w:ilvl w:val="2"/>
          <w:numId w:val="7"/>
        </w:numPr>
        <w:ind w:left="567" w:hanging="567"/>
        <w:jc w:val="both"/>
        <w:rPr>
          <w:rFonts w:cs="Arial"/>
          <w:bCs/>
          <w:szCs w:val="24"/>
        </w:rPr>
      </w:pPr>
      <w:r w:rsidRPr="001744F0">
        <w:rPr>
          <w:rFonts w:cs="Arial"/>
          <w:bCs/>
          <w:szCs w:val="24"/>
        </w:rPr>
        <w:t>There are some remaining issues on the SWDPR risk register relating to the strategic allocations which efforts are being made to resolve. The Regulation 19 document</w:t>
      </w:r>
      <w:r w:rsidR="001D5C8F" w:rsidRPr="001744F0">
        <w:rPr>
          <w:rFonts w:cs="Arial"/>
          <w:bCs/>
          <w:szCs w:val="24"/>
        </w:rPr>
        <w:t xml:space="preserve">, along with the </w:t>
      </w:r>
      <w:r w:rsidR="00B252B2" w:rsidRPr="001744F0">
        <w:rPr>
          <w:rFonts w:cs="Arial"/>
          <w:bCs/>
          <w:szCs w:val="24"/>
        </w:rPr>
        <w:t xml:space="preserve">GT&amp;TSP </w:t>
      </w:r>
      <w:r w:rsidR="001D5C8F" w:rsidRPr="001744F0">
        <w:rPr>
          <w:rFonts w:cs="Arial"/>
          <w:bCs/>
          <w:szCs w:val="24"/>
        </w:rPr>
        <w:t>DPD,</w:t>
      </w:r>
      <w:r w:rsidRPr="001744F0">
        <w:rPr>
          <w:rFonts w:cs="Arial"/>
          <w:bCs/>
          <w:szCs w:val="24"/>
        </w:rPr>
        <w:t xml:space="preserve"> </w:t>
      </w:r>
      <w:r w:rsidR="001D5C8F" w:rsidRPr="001744F0">
        <w:rPr>
          <w:rFonts w:cs="Arial"/>
          <w:bCs/>
          <w:szCs w:val="24"/>
        </w:rPr>
        <w:t>was</w:t>
      </w:r>
      <w:r w:rsidRPr="001744F0">
        <w:rPr>
          <w:rFonts w:cs="Arial"/>
          <w:bCs/>
          <w:szCs w:val="24"/>
        </w:rPr>
        <w:t xml:space="preserve"> due to be considered by each of the three Councils in June 2022, with the formal publication stage in July and August.</w:t>
      </w:r>
      <w:r w:rsidR="001D5C8F" w:rsidRPr="001744F0">
        <w:rPr>
          <w:rFonts w:cs="Arial"/>
          <w:bCs/>
          <w:szCs w:val="24"/>
        </w:rPr>
        <w:t xml:space="preserve"> However, this timescale, for both documents, has recently had to be reconsidered</w:t>
      </w:r>
      <w:r w:rsidR="00B252B2" w:rsidRPr="001744F0">
        <w:t xml:space="preserve">. This is due to a lack of agreement for a site to accommodate Worcester City’s need for the GT&amp;TSP DPD. The SWDPR has been delayed due to continued delays with viability and infrastructure work, and a revised timetable has yet to be drawn up. </w:t>
      </w:r>
    </w:p>
    <w:p w14:paraId="0DA29F94" w14:textId="77777777" w:rsidR="002E4F0D" w:rsidRPr="002E4F0D" w:rsidRDefault="002E4F0D" w:rsidP="00F063BB">
      <w:pPr>
        <w:pStyle w:val="Heading3"/>
      </w:pPr>
      <w:r>
        <w:t xml:space="preserve"> </w:t>
      </w:r>
      <w:r w:rsidRPr="002E4F0D">
        <w:t>Business Plan Achievement</w:t>
      </w:r>
    </w:p>
    <w:p w14:paraId="3AAA074A" w14:textId="1FDE1CAA" w:rsidR="002E4F0D" w:rsidRPr="002E4F0D" w:rsidRDefault="002E4F0D" w:rsidP="00A457F2">
      <w:pPr>
        <w:numPr>
          <w:ilvl w:val="2"/>
          <w:numId w:val="7"/>
        </w:numPr>
        <w:spacing w:after="120" w:line="240" w:lineRule="auto"/>
        <w:ind w:left="567" w:hanging="567"/>
        <w:jc w:val="both"/>
      </w:pPr>
      <w:r w:rsidRPr="002B1B32">
        <w:rPr>
          <w:rFonts w:cs="Arial"/>
          <w:szCs w:val="24"/>
        </w:rPr>
        <w:t xml:space="preserve">The council’s business </w:t>
      </w:r>
      <w:r w:rsidRPr="002B1B32">
        <w:rPr>
          <w:rFonts w:cs="Arial"/>
          <w:szCs w:val="28"/>
        </w:rPr>
        <w:t xml:space="preserve">plan has identified target savings of </w:t>
      </w:r>
      <w:r w:rsidRPr="002D2D28">
        <w:rPr>
          <w:rFonts w:cs="Arial"/>
          <w:color w:val="000000" w:themeColor="text1"/>
          <w:szCs w:val="28"/>
        </w:rPr>
        <w:t xml:space="preserve">£500,000 </w:t>
      </w:r>
      <w:r w:rsidRPr="002B1B32">
        <w:rPr>
          <w:rFonts w:cs="Arial"/>
          <w:szCs w:val="28"/>
        </w:rPr>
        <w:t>over the period 2021-2026. These savings will be delivered through efficiencies, investment and growth and income generation</w:t>
      </w:r>
      <w:r>
        <w:rPr>
          <w:rFonts w:cs="Arial"/>
          <w:szCs w:val="28"/>
        </w:rPr>
        <w:t>.</w:t>
      </w:r>
    </w:p>
    <w:p w14:paraId="291B5EAB" w14:textId="6901D803" w:rsidR="002E4F0D" w:rsidRDefault="002E4F0D" w:rsidP="00A64C33">
      <w:pPr>
        <w:numPr>
          <w:ilvl w:val="2"/>
          <w:numId w:val="7"/>
        </w:numPr>
        <w:ind w:left="567" w:hanging="567"/>
        <w:jc w:val="both"/>
      </w:pPr>
      <w:r w:rsidRPr="002B1B32">
        <w:rPr>
          <w:rFonts w:cs="Arial"/>
          <w:szCs w:val="28"/>
        </w:rPr>
        <w:t xml:space="preserve">Whilst the council </w:t>
      </w:r>
      <w:r w:rsidRPr="002B1B32">
        <w:rPr>
          <w:rFonts w:cs="Arial"/>
          <w:szCs w:val="24"/>
        </w:rPr>
        <w:t xml:space="preserve">has a robust track record for the achievement of savings, Covid-19 continues to impact on the Council’s financial performance, </w:t>
      </w:r>
      <w:r w:rsidRPr="002D2D28">
        <w:rPr>
          <w:rFonts w:cs="Arial"/>
          <w:color w:val="000000" w:themeColor="text1"/>
          <w:szCs w:val="24"/>
        </w:rPr>
        <w:t xml:space="preserve">particularly in leisure and car parking income. However, at this stage the Council </w:t>
      </w:r>
      <w:r w:rsidR="002D2D28">
        <w:rPr>
          <w:rFonts w:cs="Arial"/>
          <w:color w:val="000000" w:themeColor="text1"/>
          <w:szCs w:val="24"/>
        </w:rPr>
        <w:t>has over-achieved</w:t>
      </w:r>
      <w:r w:rsidRPr="002D2D28">
        <w:rPr>
          <w:rFonts w:cs="Arial"/>
          <w:color w:val="000000" w:themeColor="text1"/>
          <w:szCs w:val="24"/>
        </w:rPr>
        <w:t xml:space="preserve"> its budgetary targets for this financial year</w:t>
      </w:r>
      <w:r w:rsidR="00A64C33">
        <w:rPr>
          <w:rFonts w:cs="Arial"/>
          <w:color w:val="000000" w:themeColor="text1"/>
          <w:szCs w:val="24"/>
        </w:rPr>
        <w:t>.</w:t>
      </w:r>
    </w:p>
    <w:p w14:paraId="7DF23CB1" w14:textId="10B3DCDE" w:rsidR="002E4F0D" w:rsidRPr="00F867CF" w:rsidRDefault="002E4F0D" w:rsidP="00F063BB">
      <w:pPr>
        <w:pStyle w:val="Heading3"/>
      </w:pPr>
      <w:r>
        <w:lastRenderedPageBreak/>
        <w:t xml:space="preserve"> Strategic Context</w:t>
      </w:r>
    </w:p>
    <w:p w14:paraId="2DA366AD" w14:textId="20F11E03" w:rsidR="00F867CF" w:rsidRPr="00873B6D" w:rsidRDefault="00F867CF" w:rsidP="00A457F2">
      <w:pPr>
        <w:numPr>
          <w:ilvl w:val="2"/>
          <w:numId w:val="7"/>
        </w:numPr>
        <w:ind w:left="567" w:hanging="567"/>
        <w:jc w:val="both"/>
      </w:pPr>
      <w:r w:rsidRPr="00873B6D">
        <w:rPr>
          <w:rFonts w:cs="Arial"/>
          <w:szCs w:val="24"/>
        </w:rPr>
        <w:t xml:space="preserve">There has been a further decrease in </w:t>
      </w:r>
      <w:r w:rsidRPr="00873B6D">
        <w:rPr>
          <w:rFonts w:cs="Arial"/>
          <w:bCs/>
          <w:szCs w:val="24"/>
        </w:rPr>
        <w:t xml:space="preserve">unemployment levels across the country, </w:t>
      </w:r>
      <w:r w:rsidR="00873B6D" w:rsidRPr="00873B6D">
        <w:rPr>
          <w:rFonts w:cs="Arial"/>
          <w:bCs/>
          <w:szCs w:val="24"/>
        </w:rPr>
        <w:t>region</w:t>
      </w:r>
      <w:r w:rsidRPr="00873B6D">
        <w:rPr>
          <w:rFonts w:cs="Arial"/>
          <w:bCs/>
          <w:szCs w:val="24"/>
        </w:rPr>
        <w:t xml:space="preserve"> and district </w:t>
      </w:r>
      <w:r w:rsidR="00873B6D" w:rsidRPr="00873B6D">
        <w:rPr>
          <w:rFonts w:cs="Arial"/>
          <w:bCs/>
          <w:szCs w:val="24"/>
        </w:rPr>
        <w:t>at the end of 2021/22</w:t>
      </w:r>
      <w:r w:rsidRPr="00873B6D">
        <w:rPr>
          <w:rFonts w:cs="Arial"/>
          <w:bCs/>
          <w:szCs w:val="24"/>
        </w:rPr>
        <w:t xml:space="preserve">, following the peak </w:t>
      </w:r>
      <w:r w:rsidR="00873B6D" w:rsidRPr="00873B6D">
        <w:rPr>
          <w:rFonts w:cs="Arial"/>
          <w:bCs/>
          <w:szCs w:val="24"/>
        </w:rPr>
        <w:t xml:space="preserve">at the end of </w:t>
      </w:r>
      <w:r w:rsidRPr="00873B6D">
        <w:rPr>
          <w:rFonts w:cs="Arial"/>
          <w:bCs/>
          <w:szCs w:val="24"/>
        </w:rPr>
        <w:t>2020/21</w:t>
      </w:r>
      <w:r w:rsidR="00640C0A" w:rsidRPr="00873B6D">
        <w:rPr>
          <w:rFonts w:cs="Arial"/>
          <w:bCs/>
          <w:szCs w:val="24"/>
        </w:rPr>
        <w:t xml:space="preserve">. </w:t>
      </w:r>
      <w:r w:rsidR="00873B6D" w:rsidRPr="00873B6D">
        <w:rPr>
          <w:rFonts w:cs="Arial"/>
          <w:bCs/>
          <w:szCs w:val="24"/>
        </w:rPr>
        <w:t xml:space="preserve">The proportion of claimants is now approaching 2019/20 levels, </w:t>
      </w:r>
      <w:r w:rsidRPr="00873B6D">
        <w:rPr>
          <w:rFonts w:cs="Arial"/>
          <w:bCs/>
          <w:szCs w:val="24"/>
        </w:rPr>
        <w:t xml:space="preserve">with </w:t>
      </w:r>
      <w:r w:rsidR="00873B6D" w:rsidRPr="00873B6D">
        <w:rPr>
          <w:rFonts w:cs="Arial"/>
          <w:bCs/>
          <w:szCs w:val="24"/>
        </w:rPr>
        <w:t xml:space="preserve">around 1,300 making </w:t>
      </w:r>
      <w:r w:rsidRPr="00873B6D">
        <w:rPr>
          <w:rFonts w:cs="Arial"/>
          <w:bCs/>
          <w:szCs w:val="24"/>
        </w:rPr>
        <w:t xml:space="preserve">claims </w:t>
      </w:r>
      <w:r w:rsidR="00873B6D" w:rsidRPr="00873B6D">
        <w:rPr>
          <w:rFonts w:cs="Arial"/>
          <w:bCs/>
          <w:szCs w:val="24"/>
        </w:rPr>
        <w:t>at the end of 2021/22 (2.9% of residents aged 16-64)</w:t>
      </w:r>
      <w:r w:rsidRPr="00873B6D">
        <w:rPr>
          <w:rFonts w:cs="Arial"/>
          <w:bCs/>
          <w:szCs w:val="24"/>
        </w:rPr>
        <w:t>.</w:t>
      </w:r>
      <w:r w:rsidR="00873B6D" w:rsidRPr="00873B6D">
        <w:rPr>
          <w:rFonts w:cs="Arial"/>
          <w:bCs/>
          <w:szCs w:val="24"/>
        </w:rPr>
        <w:t xml:space="preserve"> This compares to 2,085 at the end of 2020/21.</w:t>
      </w:r>
    </w:p>
    <w:p w14:paraId="09655D2A" w14:textId="330A0D4F" w:rsidR="00F867CF" w:rsidRDefault="00F867CF" w:rsidP="00F063BB">
      <w:pPr>
        <w:pStyle w:val="Heading3"/>
      </w:pPr>
      <w:r>
        <w:t xml:space="preserve"> </w:t>
      </w:r>
      <w:r w:rsidRPr="00F867CF">
        <w:t>Covid-19</w:t>
      </w:r>
    </w:p>
    <w:p w14:paraId="23AD5CF4" w14:textId="6771F0A5" w:rsidR="00F867CF" w:rsidRPr="00F867CF" w:rsidRDefault="00F867CF" w:rsidP="00733829">
      <w:pPr>
        <w:numPr>
          <w:ilvl w:val="2"/>
          <w:numId w:val="7"/>
        </w:numPr>
        <w:spacing w:after="120" w:line="240" w:lineRule="auto"/>
        <w:ind w:left="567" w:hanging="567"/>
        <w:jc w:val="both"/>
        <w:rPr>
          <w:b/>
          <w:bCs/>
        </w:rPr>
      </w:pPr>
      <w:r w:rsidRPr="004D7E67">
        <w:rPr>
          <w:rFonts w:cs="Arial"/>
          <w:szCs w:val="24"/>
        </w:rPr>
        <w:t xml:space="preserve">The council </w:t>
      </w:r>
      <w:r>
        <w:rPr>
          <w:rFonts w:cs="Arial"/>
          <w:szCs w:val="24"/>
        </w:rPr>
        <w:t>has continued to be involved in delivering the response to Covid-19 to support both residents and businesses in the district. The Council’s Covid Recovery Plan, which was approved by Council in Q2 focussing on the council priorities of ‘Our Communities’ and ‘Our Economy’, is now being delivered.</w:t>
      </w:r>
    </w:p>
    <w:p w14:paraId="1929D1AF" w14:textId="0F06CC8E" w:rsidR="00F867CF" w:rsidRPr="00F867CF" w:rsidRDefault="00F867CF" w:rsidP="00733829">
      <w:pPr>
        <w:numPr>
          <w:ilvl w:val="2"/>
          <w:numId w:val="7"/>
        </w:numPr>
        <w:spacing w:after="120" w:line="240" w:lineRule="auto"/>
        <w:ind w:left="567" w:hanging="567"/>
        <w:jc w:val="both"/>
        <w:rPr>
          <w:b/>
          <w:bCs/>
        </w:rPr>
      </w:pPr>
      <w:r w:rsidRPr="00972EA5">
        <w:rPr>
          <w:rFonts w:cs="Arial"/>
          <w:szCs w:val="24"/>
        </w:rPr>
        <w:t>Official government statistics confirm that</w:t>
      </w:r>
      <w:r w:rsidRPr="00C32628">
        <w:rPr>
          <w:rFonts w:cs="Arial"/>
          <w:szCs w:val="24"/>
        </w:rPr>
        <w:t xml:space="preserve"> 12.6mn claims (3.8mn individuals) </w:t>
      </w:r>
      <w:r w:rsidR="00C32628" w:rsidRPr="00C32628">
        <w:rPr>
          <w:rFonts w:cs="Arial"/>
          <w:szCs w:val="24"/>
        </w:rPr>
        <w:t>were</w:t>
      </w:r>
      <w:r w:rsidRPr="00C32628">
        <w:rPr>
          <w:rFonts w:cs="Arial"/>
          <w:szCs w:val="24"/>
        </w:rPr>
        <w:t xml:space="preserve"> made across all rounds of the Self-Employment Income Support Scheme (SEISS), up to 28 October 2021 (</w:t>
      </w:r>
      <w:r w:rsidR="00C32628" w:rsidRPr="00C32628">
        <w:rPr>
          <w:rFonts w:cs="Arial"/>
          <w:szCs w:val="24"/>
        </w:rPr>
        <w:t xml:space="preserve">still the </w:t>
      </w:r>
      <w:r w:rsidRPr="00C32628">
        <w:rPr>
          <w:rFonts w:cs="Arial"/>
          <w:szCs w:val="24"/>
        </w:rPr>
        <w:t>latest data). This includes Round</w:t>
      </w:r>
      <w:r w:rsidR="00C32628">
        <w:rPr>
          <w:rFonts w:cs="Arial"/>
          <w:szCs w:val="24"/>
        </w:rPr>
        <w:t>s 1-</w:t>
      </w:r>
      <w:r w:rsidRPr="00C32628">
        <w:rPr>
          <w:rFonts w:cs="Arial"/>
          <w:szCs w:val="24"/>
        </w:rPr>
        <w:t>5 of the scheme. A total of £34.8m in funding has now been paid out in the district</w:t>
      </w:r>
      <w:r w:rsidR="00C32628" w:rsidRPr="00C32628">
        <w:rPr>
          <w:rFonts w:cs="Arial"/>
          <w:szCs w:val="24"/>
        </w:rPr>
        <w:t>, with £2,800 the average value of all claims made for all grants</w:t>
      </w:r>
      <w:r w:rsidRPr="00C32628">
        <w:rPr>
          <w:rFonts w:cs="Arial"/>
          <w:szCs w:val="24"/>
        </w:rPr>
        <w:t>.</w:t>
      </w:r>
      <w:r w:rsidRPr="00F867CF">
        <w:rPr>
          <w:rFonts w:cs="Arial"/>
          <w:color w:val="00B050"/>
          <w:szCs w:val="24"/>
        </w:rPr>
        <w:t xml:space="preserve"> </w:t>
      </w:r>
    </w:p>
    <w:p w14:paraId="7DEA5515" w14:textId="015F57B1" w:rsidR="00F867CF" w:rsidRPr="00F867CF" w:rsidRDefault="00F867CF" w:rsidP="00733829">
      <w:pPr>
        <w:numPr>
          <w:ilvl w:val="2"/>
          <w:numId w:val="7"/>
        </w:numPr>
        <w:spacing w:after="120" w:line="240" w:lineRule="auto"/>
        <w:ind w:left="567" w:hanging="567"/>
        <w:jc w:val="both"/>
        <w:rPr>
          <w:b/>
          <w:bCs/>
        </w:rPr>
      </w:pPr>
      <w:r w:rsidRPr="00972EA5">
        <w:rPr>
          <w:rFonts w:cs="Arial"/>
          <w:szCs w:val="24"/>
        </w:rPr>
        <w:t>A</w:t>
      </w:r>
      <w:r w:rsidR="00C32628">
        <w:rPr>
          <w:rFonts w:cs="Arial"/>
          <w:szCs w:val="24"/>
        </w:rPr>
        <w:t>t the end of the government’s Coronavirus Job Retention Scheme to support individuals during the pandemic, a</w:t>
      </w:r>
      <w:r w:rsidRPr="00972EA5">
        <w:rPr>
          <w:rFonts w:cs="Arial"/>
          <w:szCs w:val="24"/>
        </w:rPr>
        <w:t xml:space="preserve">round </w:t>
      </w:r>
      <w:r w:rsidRPr="00C32628">
        <w:rPr>
          <w:rFonts w:cs="Arial"/>
          <w:szCs w:val="24"/>
        </w:rPr>
        <w:t xml:space="preserve">12,400 Malvern Hills residents </w:t>
      </w:r>
      <w:r w:rsidR="00A457F2">
        <w:rPr>
          <w:rFonts w:cs="Arial"/>
          <w:szCs w:val="24"/>
        </w:rPr>
        <w:t>had been</w:t>
      </w:r>
      <w:r w:rsidRPr="00C32628">
        <w:rPr>
          <w:rFonts w:cs="Arial"/>
          <w:szCs w:val="24"/>
        </w:rPr>
        <w:t xml:space="preserve"> </w:t>
      </w:r>
      <w:r w:rsidR="00C32628" w:rsidRPr="00C32628">
        <w:rPr>
          <w:rFonts w:cs="Arial"/>
          <w:szCs w:val="24"/>
        </w:rPr>
        <w:t>furloughed</w:t>
      </w:r>
      <w:r w:rsidRPr="00C32628">
        <w:rPr>
          <w:rFonts w:cs="Arial"/>
          <w:szCs w:val="24"/>
        </w:rPr>
        <w:t>, with the most common sector in 2021 being Wholesale and Retail.</w:t>
      </w:r>
    </w:p>
    <w:p w14:paraId="7AC85419" w14:textId="4CDB6110" w:rsidR="00F867CF" w:rsidRPr="00F867CF" w:rsidRDefault="00F867CF" w:rsidP="00733829">
      <w:pPr>
        <w:numPr>
          <w:ilvl w:val="2"/>
          <w:numId w:val="7"/>
        </w:numPr>
        <w:spacing w:after="120" w:line="240" w:lineRule="auto"/>
        <w:ind w:left="567" w:hanging="567"/>
        <w:jc w:val="both"/>
        <w:rPr>
          <w:sz w:val="20"/>
        </w:rPr>
      </w:pPr>
      <w:r>
        <w:rPr>
          <w:rFonts w:cs="Arial"/>
          <w:szCs w:val="24"/>
        </w:rPr>
        <w:t xml:space="preserve">The </w:t>
      </w:r>
      <w:r w:rsidRPr="00856846">
        <w:rPr>
          <w:rFonts w:cs="Arial"/>
          <w:szCs w:val="24"/>
        </w:rPr>
        <w:t xml:space="preserve">council </w:t>
      </w:r>
      <w:r w:rsidRPr="00856846">
        <w:rPr>
          <w:rFonts w:cs="Arial"/>
          <w:szCs w:val="28"/>
        </w:rPr>
        <w:t>provide</w:t>
      </w:r>
      <w:r w:rsidR="00C32628">
        <w:rPr>
          <w:rFonts w:cs="Arial"/>
          <w:szCs w:val="28"/>
        </w:rPr>
        <w:t>d</w:t>
      </w:r>
      <w:r w:rsidRPr="00856846">
        <w:rPr>
          <w:rFonts w:cs="Arial"/>
          <w:szCs w:val="28"/>
        </w:rPr>
        <w:t xml:space="preserve"> a range of Covid specific support for residents and business advice, as well as continuing to deliver usual services</w:t>
      </w:r>
      <w:r w:rsidR="00C32628">
        <w:rPr>
          <w:rFonts w:cs="Arial"/>
          <w:szCs w:val="28"/>
        </w:rPr>
        <w:t>, throughout the pandemic</w:t>
      </w:r>
      <w:r w:rsidRPr="00856846">
        <w:rPr>
          <w:rFonts w:cs="Arial"/>
          <w:szCs w:val="28"/>
        </w:rPr>
        <w:t>.</w:t>
      </w:r>
    </w:p>
    <w:p w14:paraId="7F38B93F" w14:textId="3FFDEEFD" w:rsidR="00F867CF" w:rsidRPr="00F867CF" w:rsidRDefault="00F867CF" w:rsidP="00733829">
      <w:pPr>
        <w:numPr>
          <w:ilvl w:val="2"/>
          <w:numId w:val="7"/>
        </w:numPr>
        <w:spacing w:after="120" w:line="240" w:lineRule="auto"/>
        <w:ind w:left="567" w:hanging="567"/>
        <w:jc w:val="both"/>
      </w:pPr>
      <w:r>
        <w:rPr>
          <w:rFonts w:cs="Arial"/>
          <w:szCs w:val="28"/>
        </w:rPr>
        <w:t>The council</w:t>
      </w:r>
      <w:r w:rsidRPr="00856846">
        <w:rPr>
          <w:rFonts w:cs="Arial"/>
          <w:szCs w:val="28"/>
        </w:rPr>
        <w:t xml:space="preserve"> continu</w:t>
      </w:r>
      <w:r w:rsidR="005923A8">
        <w:rPr>
          <w:rFonts w:cs="Arial"/>
          <w:szCs w:val="28"/>
        </w:rPr>
        <w:t>ed</w:t>
      </w:r>
      <w:r w:rsidRPr="00856846">
        <w:rPr>
          <w:rFonts w:cs="Arial"/>
          <w:szCs w:val="28"/>
        </w:rPr>
        <w:t xml:space="preserve"> to make self-isolation support payments to residents. Since the scheme </w:t>
      </w:r>
      <w:r w:rsidRPr="00084C4D">
        <w:rPr>
          <w:rFonts w:cs="Arial"/>
          <w:color w:val="000000" w:themeColor="text1"/>
          <w:szCs w:val="28"/>
        </w:rPr>
        <w:t xml:space="preserve">started </w:t>
      </w:r>
      <w:r w:rsidR="00084C4D" w:rsidRPr="00084C4D">
        <w:rPr>
          <w:rFonts w:cs="Arial"/>
          <w:color w:val="000000" w:themeColor="text1"/>
          <w:szCs w:val="28"/>
        </w:rPr>
        <w:t>1,064</w:t>
      </w:r>
      <w:r w:rsidRPr="00084C4D">
        <w:rPr>
          <w:rFonts w:cs="Arial"/>
          <w:color w:val="000000" w:themeColor="text1"/>
          <w:szCs w:val="28"/>
        </w:rPr>
        <w:t xml:space="preserve"> grants totalling £</w:t>
      </w:r>
      <w:r w:rsidR="00084C4D" w:rsidRPr="00084C4D">
        <w:rPr>
          <w:rFonts w:cs="Arial"/>
          <w:color w:val="000000" w:themeColor="text1"/>
          <w:szCs w:val="28"/>
        </w:rPr>
        <w:t>532,000</w:t>
      </w:r>
      <w:r w:rsidRPr="00084C4D">
        <w:rPr>
          <w:rFonts w:cs="Arial"/>
          <w:color w:val="000000" w:themeColor="text1"/>
          <w:szCs w:val="28"/>
        </w:rPr>
        <w:t xml:space="preserve"> </w:t>
      </w:r>
      <w:r w:rsidRPr="00856846">
        <w:rPr>
          <w:rFonts w:cs="Arial"/>
          <w:szCs w:val="28"/>
        </w:rPr>
        <w:t xml:space="preserve">have been paid. </w:t>
      </w:r>
    </w:p>
    <w:p w14:paraId="11805917" w14:textId="0E812782" w:rsidR="00F867CF" w:rsidRPr="00F867CF" w:rsidRDefault="00F867CF" w:rsidP="00733829">
      <w:pPr>
        <w:numPr>
          <w:ilvl w:val="2"/>
          <w:numId w:val="7"/>
        </w:numPr>
        <w:spacing w:after="120" w:line="240" w:lineRule="auto"/>
        <w:ind w:left="567" w:hanging="567"/>
        <w:jc w:val="both"/>
      </w:pPr>
      <w:r>
        <w:rPr>
          <w:rFonts w:cs="Arial"/>
          <w:szCs w:val="28"/>
        </w:rPr>
        <w:t>All of</w:t>
      </w:r>
      <w:r w:rsidRPr="009260FE">
        <w:rPr>
          <w:rFonts w:cs="Arial"/>
          <w:szCs w:val="24"/>
        </w:rPr>
        <w:t xml:space="preserve"> the hardship payments have now been awarded to eligible households. This is a total of </w:t>
      </w:r>
      <w:r w:rsidRPr="00084C4D">
        <w:rPr>
          <w:rFonts w:cs="Arial"/>
          <w:color w:val="000000" w:themeColor="text1"/>
          <w:szCs w:val="24"/>
        </w:rPr>
        <w:t>£409k</w:t>
      </w:r>
      <w:r w:rsidRPr="009260FE">
        <w:rPr>
          <w:rFonts w:cs="Arial"/>
          <w:szCs w:val="24"/>
        </w:rPr>
        <w:t xml:space="preserve">. </w:t>
      </w:r>
    </w:p>
    <w:p w14:paraId="1C56065F" w14:textId="5568B5D8" w:rsidR="00F867CF" w:rsidRPr="00084C4D" w:rsidRDefault="00F867CF" w:rsidP="00733829">
      <w:pPr>
        <w:numPr>
          <w:ilvl w:val="2"/>
          <w:numId w:val="7"/>
        </w:numPr>
        <w:spacing w:line="240" w:lineRule="auto"/>
        <w:ind w:left="567" w:hanging="567"/>
        <w:jc w:val="both"/>
        <w:rPr>
          <w:b/>
          <w:bCs/>
          <w:color w:val="000000" w:themeColor="text1"/>
        </w:rPr>
      </w:pPr>
      <w:r>
        <w:rPr>
          <w:rFonts w:cs="Arial"/>
          <w:szCs w:val="24"/>
        </w:rPr>
        <w:t xml:space="preserve">The council </w:t>
      </w:r>
      <w:r w:rsidRPr="009260FE">
        <w:rPr>
          <w:rFonts w:cs="Arial"/>
          <w:szCs w:val="24"/>
        </w:rPr>
        <w:t>has supported businesses through the processing of grants from the first lockdown until the present.</w:t>
      </w:r>
      <w:r w:rsidR="00A92DF9">
        <w:rPr>
          <w:rFonts w:cs="Arial"/>
          <w:szCs w:val="24"/>
        </w:rPr>
        <w:t xml:space="preserve"> A total of £37,537,599 has been awarded across all of the </w:t>
      </w:r>
      <w:r w:rsidRPr="009260FE">
        <w:rPr>
          <w:rFonts w:cs="Arial"/>
          <w:szCs w:val="24"/>
        </w:rPr>
        <w:t xml:space="preserve">schemes </w:t>
      </w:r>
      <w:r w:rsidR="00A92DF9">
        <w:rPr>
          <w:rFonts w:cs="Arial"/>
          <w:szCs w:val="24"/>
        </w:rPr>
        <w:t>were</w:t>
      </w:r>
      <w:r w:rsidRPr="009260FE">
        <w:rPr>
          <w:rFonts w:cs="Arial"/>
          <w:szCs w:val="24"/>
        </w:rPr>
        <w:t xml:space="preserve"> administered</w:t>
      </w:r>
      <w:r w:rsidR="00A92DF9">
        <w:rPr>
          <w:rFonts w:cs="Arial"/>
          <w:szCs w:val="24"/>
        </w:rPr>
        <w:t xml:space="preserve">, which includes </w:t>
      </w:r>
      <w:r w:rsidR="00084C4D" w:rsidRPr="00084C4D">
        <w:rPr>
          <w:rFonts w:cs="Arial"/>
          <w:color w:val="000000" w:themeColor="text1"/>
          <w:szCs w:val="24"/>
        </w:rPr>
        <w:t xml:space="preserve">payments </w:t>
      </w:r>
      <w:r w:rsidR="005923A8">
        <w:rPr>
          <w:rFonts w:cs="Arial"/>
          <w:color w:val="000000" w:themeColor="text1"/>
          <w:szCs w:val="24"/>
        </w:rPr>
        <w:t xml:space="preserve">in Q4 </w:t>
      </w:r>
      <w:r w:rsidR="00084C4D" w:rsidRPr="00084C4D">
        <w:rPr>
          <w:rFonts w:cs="Arial"/>
          <w:color w:val="000000" w:themeColor="text1"/>
          <w:szCs w:val="24"/>
        </w:rPr>
        <w:t>totalling £934,743 to 304 businesses under the Omicron Business Rates Grant Scheme and £241,844 to 90 businesses under the Additional Restrictions Grant Scheme.</w:t>
      </w:r>
    </w:p>
    <w:p w14:paraId="625E6F41" w14:textId="6963D1FA" w:rsidR="00C165DA" w:rsidRDefault="00B22E99" w:rsidP="00F063BB">
      <w:pPr>
        <w:pStyle w:val="Heading3"/>
      </w:pPr>
      <w:r>
        <w:t xml:space="preserve"> Flood Recovery</w:t>
      </w:r>
    </w:p>
    <w:p w14:paraId="357B47DA" w14:textId="46CFD656" w:rsidR="00B22E99" w:rsidRPr="00B22E99" w:rsidRDefault="00B22E99" w:rsidP="00733829">
      <w:pPr>
        <w:numPr>
          <w:ilvl w:val="2"/>
          <w:numId w:val="7"/>
        </w:numPr>
        <w:ind w:left="567" w:hanging="567"/>
        <w:jc w:val="both"/>
      </w:pPr>
      <w:r w:rsidRPr="00856846">
        <w:rPr>
          <w:rFonts w:cs="Arial"/>
          <w:szCs w:val="24"/>
        </w:rPr>
        <w:t>In addition to delivering council</w:t>
      </w:r>
      <w:r w:rsidRPr="00856846">
        <w:rPr>
          <w:rFonts w:cs="Arial"/>
          <w:bCs/>
          <w:szCs w:val="24"/>
        </w:rPr>
        <w:t xml:space="preserve"> services and essential work undertaken on Covid recovery actions, the council </w:t>
      </w:r>
      <w:r w:rsidRPr="00856846">
        <w:rPr>
          <w:rFonts w:cs="Arial"/>
          <w:szCs w:val="24"/>
        </w:rPr>
        <w:t xml:space="preserve">has continued to work closely with communities, elected members and businesses to reduce the impact of the flooding events. The flood resilience scheme launched in 2020/21 is continuing and during </w:t>
      </w:r>
      <w:r w:rsidRPr="00084C4D">
        <w:rPr>
          <w:rFonts w:cs="Arial"/>
          <w:color w:val="000000" w:themeColor="text1"/>
          <w:szCs w:val="24"/>
        </w:rPr>
        <w:t>Q</w:t>
      </w:r>
      <w:r w:rsidR="00084C4D" w:rsidRPr="00084C4D">
        <w:rPr>
          <w:rFonts w:cs="Arial"/>
          <w:color w:val="000000" w:themeColor="text1"/>
          <w:szCs w:val="24"/>
        </w:rPr>
        <w:t>4</w:t>
      </w:r>
      <w:r w:rsidRPr="00084C4D">
        <w:rPr>
          <w:rFonts w:cs="Arial"/>
          <w:color w:val="000000" w:themeColor="text1"/>
          <w:szCs w:val="24"/>
        </w:rPr>
        <w:t xml:space="preserve"> </w:t>
      </w:r>
      <w:r w:rsidR="00A92DF9">
        <w:rPr>
          <w:rFonts w:cs="Arial"/>
          <w:color w:val="000000" w:themeColor="text1"/>
          <w:szCs w:val="24"/>
        </w:rPr>
        <w:t>four</w:t>
      </w:r>
      <w:r w:rsidRPr="00084C4D">
        <w:rPr>
          <w:rFonts w:cs="Arial"/>
          <w:color w:val="000000" w:themeColor="text1"/>
          <w:szCs w:val="24"/>
        </w:rPr>
        <w:t xml:space="preserve"> grants totalling £</w:t>
      </w:r>
      <w:r w:rsidR="00084C4D" w:rsidRPr="00084C4D">
        <w:rPr>
          <w:rFonts w:cs="Arial"/>
          <w:color w:val="000000" w:themeColor="text1"/>
          <w:szCs w:val="24"/>
        </w:rPr>
        <w:t>18,601</w:t>
      </w:r>
      <w:r w:rsidRPr="00084C4D">
        <w:rPr>
          <w:rFonts w:cs="Arial"/>
          <w:color w:val="000000" w:themeColor="text1"/>
          <w:szCs w:val="24"/>
        </w:rPr>
        <w:t xml:space="preserve"> were paid</w:t>
      </w:r>
      <w:r w:rsidRPr="00856846">
        <w:rPr>
          <w:rFonts w:cs="Arial"/>
          <w:szCs w:val="24"/>
        </w:rPr>
        <w:t xml:space="preserve">. This brings the total number of residents and business supported through the scheme to </w:t>
      </w:r>
      <w:r w:rsidRPr="00084C4D">
        <w:rPr>
          <w:rFonts w:cs="Arial"/>
          <w:color w:val="000000" w:themeColor="text1"/>
          <w:szCs w:val="24"/>
        </w:rPr>
        <w:t>6</w:t>
      </w:r>
      <w:r w:rsidR="00084C4D" w:rsidRPr="00084C4D">
        <w:rPr>
          <w:rFonts w:cs="Arial"/>
          <w:color w:val="000000" w:themeColor="text1"/>
          <w:szCs w:val="24"/>
        </w:rPr>
        <w:t>5</w:t>
      </w:r>
      <w:r w:rsidRPr="00084C4D">
        <w:rPr>
          <w:rFonts w:cs="Arial"/>
          <w:color w:val="000000" w:themeColor="text1"/>
          <w:szCs w:val="24"/>
        </w:rPr>
        <w:t>, and the total grants paid to £</w:t>
      </w:r>
      <w:r w:rsidR="00084C4D" w:rsidRPr="00084C4D">
        <w:rPr>
          <w:rFonts w:cs="Arial"/>
          <w:color w:val="000000" w:themeColor="text1"/>
          <w:szCs w:val="24"/>
        </w:rPr>
        <w:t>317</w:t>
      </w:r>
      <w:r w:rsidRPr="00084C4D">
        <w:rPr>
          <w:rFonts w:cs="Arial"/>
          <w:color w:val="000000" w:themeColor="text1"/>
          <w:szCs w:val="24"/>
        </w:rPr>
        <w:t>,</w:t>
      </w:r>
      <w:r w:rsidR="00084C4D" w:rsidRPr="00084C4D">
        <w:rPr>
          <w:rFonts w:cs="Arial"/>
          <w:color w:val="000000" w:themeColor="text1"/>
          <w:szCs w:val="24"/>
        </w:rPr>
        <w:t>434</w:t>
      </w:r>
      <w:r w:rsidRPr="00084C4D">
        <w:rPr>
          <w:rFonts w:cs="Arial"/>
          <w:color w:val="000000" w:themeColor="text1"/>
          <w:szCs w:val="24"/>
        </w:rPr>
        <w:t>.</w:t>
      </w:r>
    </w:p>
    <w:p w14:paraId="1721B010" w14:textId="734ECC54" w:rsidR="002E4F0D" w:rsidRDefault="00B22E99" w:rsidP="002E4F0D">
      <w:pPr>
        <w:pStyle w:val="Heading2"/>
      </w:pPr>
      <w:r>
        <w:lastRenderedPageBreak/>
        <w:t>Service Performance</w:t>
      </w:r>
    </w:p>
    <w:p w14:paraId="1663173B" w14:textId="15D6AF08" w:rsidR="00B22E99" w:rsidRPr="00B22E99" w:rsidRDefault="00733829" w:rsidP="0069063A">
      <w:pPr>
        <w:spacing w:after="120" w:line="240" w:lineRule="auto"/>
        <w:ind w:left="567" w:hanging="567"/>
        <w:jc w:val="both"/>
      </w:pPr>
      <w:r>
        <w:rPr>
          <w:rFonts w:cs="Arial"/>
          <w:szCs w:val="14"/>
        </w:rPr>
        <w:t>S</w:t>
      </w:r>
      <w:r w:rsidR="00B22E99">
        <w:rPr>
          <w:rFonts w:cs="Arial"/>
          <w:szCs w:val="14"/>
        </w:rPr>
        <w:t xml:space="preserve">ervice delivery has continued on track throughout the quarter to the end of the year. A breakdown of performance by service area can be seen in Appendix 1a, with workload/volumes detailed in Appendix 1b. </w:t>
      </w:r>
    </w:p>
    <w:p w14:paraId="4B7CAE2A" w14:textId="088CFF2A" w:rsidR="00B22E99" w:rsidRPr="00733829" w:rsidRDefault="00B22E99" w:rsidP="00733829">
      <w:pPr>
        <w:ind w:left="567" w:hanging="567"/>
        <w:jc w:val="both"/>
      </w:pPr>
      <w:r w:rsidRPr="00041F9A">
        <w:rPr>
          <w:rFonts w:cs="Arial"/>
          <w:szCs w:val="14"/>
        </w:rPr>
        <w:t xml:space="preserve">The </w:t>
      </w:r>
      <w:r w:rsidR="00733829">
        <w:rPr>
          <w:rFonts w:cs="Arial"/>
          <w:szCs w:val="14"/>
        </w:rPr>
        <w:t>y</w:t>
      </w:r>
      <w:r>
        <w:rPr>
          <w:rFonts w:cs="Arial"/>
          <w:szCs w:val="14"/>
        </w:rPr>
        <w:t xml:space="preserve">ear </w:t>
      </w:r>
      <w:r w:rsidR="00733829">
        <w:rPr>
          <w:rFonts w:cs="Arial"/>
          <w:szCs w:val="14"/>
        </w:rPr>
        <w:t>e</w:t>
      </w:r>
      <w:r>
        <w:rPr>
          <w:rFonts w:cs="Arial"/>
          <w:szCs w:val="14"/>
        </w:rPr>
        <w:t>nd</w:t>
      </w:r>
      <w:r w:rsidRPr="00041F9A">
        <w:rPr>
          <w:rFonts w:cs="Arial"/>
          <w:szCs w:val="14"/>
        </w:rPr>
        <w:t xml:space="preserve"> red/amber/green (RAG) status for the council’s performance measures, which are shown in Appendix 1a are </w:t>
      </w:r>
      <w:r w:rsidR="00733829">
        <w:rPr>
          <w:rFonts w:cs="Arial"/>
          <w:szCs w:val="14"/>
        </w:rPr>
        <w:t>summarised</w:t>
      </w:r>
      <w:r w:rsidRPr="00041F9A">
        <w:rPr>
          <w:rFonts w:cs="Arial"/>
          <w:szCs w:val="14"/>
        </w:rPr>
        <w:t xml:space="preserve"> in the table</w:t>
      </w:r>
      <w:r w:rsidR="00733829">
        <w:rPr>
          <w:rFonts w:cs="Arial"/>
          <w:szCs w:val="14"/>
        </w:rPr>
        <w:t xml:space="preserve"> below</w:t>
      </w:r>
      <w:r>
        <w:rPr>
          <w:rFonts w:cs="Arial"/>
          <w:szCs w:val="14"/>
        </w:rPr>
        <w:t>:</w:t>
      </w:r>
    </w:p>
    <w:p w14:paraId="2425AA34" w14:textId="77777777" w:rsidR="00733829" w:rsidRPr="00B22E99" w:rsidRDefault="00733829" w:rsidP="00733829">
      <w:pPr>
        <w:numPr>
          <w:ilvl w:val="0"/>
          <w:numId w:val="0"/>
        </w:numPr>
        <w:ind w:left="567"/>
      </w:pPr>
    </w:p>
    <w:tbl>
      <w:tblPr>
        <w:tblStyle w:val="TableGrid"/>
        <w:tblW w:w="7650" w:type="dxa"/>
        <w:tblLook w:val="04A0" w:firstRow="1" w:lastRow="0" w:firstColumn="1" w:lastColumn="0" w:noHBand="0" w:noVBand="1"/>
        <w:tblCaption w:val="Service Performance"/>
        <w:tblDescription w:val="The table describes our performance and rates them green for on track, amber delayed and red not on track."/>
      </w:tblPr>
      <w:tblGrid>
        <w:gridCol w:w="5665"/>
        <w:gridCol w:w="1985"/>
      </w:tblGrid>
      <w:tr w:rsidR="00B22E99" w14:paraId="0E9BAB8D" w14:textId="77777777" w:rsidTr="0028449A">
        <w:trPr>
          <w:cantSplit/>
          <w:tblHeader/>
        </w:trPr>
        <w:tc>
          <w:tcPr>
            <w:tcW w:w="5665" w:type="dxa"/>
          </w:tcPr>
          <w:p w14:paraId="255C23D4" w14:textId="628AB259" w:rsidR="00B22E99" w:rsidRPr="00DB7489" w:rsidRDefault="00B22E99" w:rsidP="00B22E99">
            <w:pPr>
              <w:numPr>
                <w:ilvl w:val="0"/>
                <w:numId w:val="0"/>
              </w:numPr>
              <w:rPr>
                <w:b/>
                <w:bCs/>
              </w:rPr>
            </w:pPr>
            <w:r w:rsidRPr="00DB7489">
              <w:rPr>
                <w:b/>
                <w:bCs/>
              </w:rPr>
              <w:t>Status</w:t>
            </w:r>
          </w:p>
        </w:tc>
        <w:tc>
          <w:tcPr>
            <w:tcW w:w="1985" w:type="dxa"/>
          </w:tcPr>
          <w:p w14:paraId="5AD73F13" w14:textId="51A5E0DF" w:rsidR="00B22E99" w:rsidRPr="00DB7489" w:rsidRDefault="00B22E99" w:rsidP="00DB7489">
            <w:pPr>
              <w:numPr>
                <w:ilvl w:val="0"/>
                <w:numId w:val="0"/>
              </w:numPr>
              <w:jc w:val="center"/>
              <w:rPr>
                <w:b/>
                <w:bCs/>
              </w:rPr>
            </w:pPr>
            <w:r w:rsidRPr="00DB7489">
              <w:rPr>
                <w:b/>
                <w:bCs/>
              </w:rPr>
              <w:t>Total</w:t>
            </w:r>
          </w:p>
        </w:tc>
      </w:tr>
      <w:tr w:rsidR="00B22E99" w14:paraId="3F8CC351" w14:textId="77777777" w:rsidTr="0028449A">
        <w:trPr>
          <w:cantSplit/>
          <w:tblHeader/>
        </w:trPr>
        <w:tc>
          <w:tcPr>
            <w:tcW w:w="5665" w:type="dxa"/>
            <w:shd w:val="clear" w:color="auto" w:fill="00B050"/>
          </w:tcPr>
          <w:p w14:paraId="0510E611" w14:textId="637473E6" w:rsidR="00B22E99" w:rsidRDefault="00F063BB" w:rsidP="00B22E99">
            <w:pPr>
              <w:numPr>
                <w:ilvl w:val="0"/>
                <w:numId w:val="0"/>
              </w:numPr>
            </w:pPr>
            <w:r>
              <w:t xml:space="preserve">Green - </w:t>
            </w:r>
            <w:r w:rsidR="00B22E99">
              <w:t>On track</w:t>
            </w:r>
          </w:p>
        </w:tc>
        <w:tc>
          <w:tcPr>
            <w:tcW w:w="1985" w:type="dxa"/>
            <w:shd w:val="clear" w:color="auto" w:fill="00B050"/>
          </w:tcPr>
          <w:p w14:paraId="7456C33C" w14:textId="17940D0C" w:rsidR="00B22E99" w:rsidRDefault="003B37D4" w:rsidP="00DB7489">
            <w:pPr>
              <w:numPr>
                <w:ilvl w:val="0"/>
                <w:numId w:val="0"/>
              </w:numPr>
              <w:jc w:val="center"/>
            </w:pPr>
            <w:r>
              <w:t>16</w:t>
            </w:r>
          </w:p>
        </w:tc>
      </w:tr>
      <w:tr w:rsidR="00B22E99" w14:paraId="0D41DEA4" w14:textId="77777777" w:rsidTr="0028449A">
        <w:trPr>
          <w:cantSplit/>
          <w:tblHeader/>
        </w:trPr>
        <w:tc>
          <w:tcPr>
            <w:tcW w:w="5665" w:type="dxa"/>
            <w:shd w:val="clear" w:color="auto" w:fill="FFC000"/>
          </w:tcPr>
          <w:p w14:paraId="162DD145" w14:textId="05DAF8CF" w:rsidR="00B22E99" w:rsidRDefault="00F063BB" w:rsidP="00B22E99">
            <w:pPr>
              <w:numPr>
                <w:ilvl w:val="0"/>
                <w:numId w:val="0"/>
              </w:numPr>
            </w:pPr>
            <w:r>
              <w:t xml:space="preserve">Amber - </w:t>
            </w:r>
            <w:r w:rsidR="00336A0D">
              <w:t>Behind schedule / slightly below target</w:t>
            </w:r>
          </w:p>
        </w:tc>
        <w:tc>
          <w:tcPr>
            <w:tcW w:w="1985" w:type="dxa"/>
            <w:shd w:val="clear" w:color="auto" w:fill="FFC000"/>
          </w:tcPr>
          <w:p w14:paraId="76C20B8C" w14:textId="26A3DCA5" w:rsidR="00B22E99" w:rsidRDefault="009D20E1" w:rsidP="00DB7489">
            <w:pPr>
              <w:numPr>
                <w:ilvl w:val="0"/>
                <w:numId w:val="0"/>
              </w:numPr>
              <w:jc w:val="center"/>
            </w:pPr>
            <w:r>
              <w:t>1</w:t>
            </w:r>
          </w:p>
        </w:tc>
      </w:tr>
      <w:tr w:rsidR="00B22E99" w14:paraId="362F5D97" w14:textId="77777777" w:rsidTr="0028449A">
        <w:trPr>
          <w:cantSplit/>
          <w:tblHeader/>
        </w:trPr>
        <w:tc>
          <w:tcPr>
            <w:tcW w:w="5665" w:type="dxa"/>
            <w:shd w:val="clear" w:color="auto" w:fill="FF0000"/>
          </w:tcPr>
          <w:p w14:paraId="3306F8E5" w14:textId="303BB499" w:rsidR="00B22E99" w:rsidRDefault="00F063BB" w:rsidP="00B22E99">
            <w:pPr>
              <w:numPr>
                <w:ilvl w:val="0"/>
                <w:numId w:val="0"/>
              </w:numPr>
            </w:pPr>
            <w:r>
              <w:t xml:space="preserve">Red - </w:t>
            </w:r>
            <w:r w:rsidR="00336A0D">
              <w:t>Not on track</w:t>
            </w:r>
          </w:p>
        </w:tc>
        <w:tc>
          <w:tcPr>
            <w:tcW w:w="1985" w:type="dxa"/>
            <w:shd w:val="clear" w:color="auto" w:fill="FF0000"/>
          </w:tcPr>
          <w:p w14:paraId="2D872F53" w14:textId="61FA0C94" w:rsidR="00B22E99" w:rsidRDefault="009D20E1" w:rsidP="00DB7489">
            <w:pPr>
              <w:numPr>
                <w:ilvl w:val="0"/>
                <w:numId w:val="0"/>
              </w:numPr>
              <w:jc w:val="center"/>
            </w:pPr>
            <w:r>
              <w:t>3</w:t>
            </w:r>
          </w:p>
        </w:tc>
      </w:tr>
      <w:tr w:rsidR="00B22E99" w14:paraId="0D7CFE30" w14:textId="77777777" w:rsidTr="0028449A">
        <w:trPr>
          <w:cantSplit/>
          <w:tblHeader/>
        </w:trPr>
        <w:tc>
          <w:tcPr>
            <w:tcW w:w="5665" w:type="dxa"/>
            <w:shd w:val="clear" w:color="auto" w:fill="000000" w:themeFill="text1"/>
          </w:tcPr>
          <w:p w14:paraId="52264CE9" w14:textId="66F0E79B" w:rsidR="00B22E99" w:rsidRDefault="00B22E99" w:rsidP="00B22E99">
            <w:pPr>
              <w:numPr>
                <w:ilvl w:val="0"/>
                <w:numId w:val="0"/>
              </w:numPr>
            </w:pPr>
            <w:r>
              <w:t xml:space="preserve">No </w:t>
            </w:r>
            <w:r w:rsidR="00336A0D">
              <w:t xml:space="preserve">current </w:t>
            </w:r>
            <w:r>
              <w:t>data</w:t>
            </w:r>
            <w:r w:rsidR="00336A0D">
              <w:t xml:space="preserve"> available</w:t>
            </w:r>
          </w:p>
        </w:tc>
        <w:tc>
          <w:tcPr>
            <w:tcW w:w="1985" w:type="dxa"/>
            <w:shd w:val="clear" w:color="auto" w:fill="000000" w:themeFill="text1"/>
          </w:tcPr>
          <w:p w14:paraId="2261656E" w14:textId="355DE4DC" w:rsidR="00B22E99" w:rsidRDefault="003B37D4" w:rsidP="00DB7489">
            <w:pPr>
              <w:numPr>
                <w:ilvl w:val="0"/>
                <w:numId w:val="0"/>
              </w:numPr>
              <w:jc w:val="center"/>
            </w:pPr>
            <w:r>
              <w:t>1</w:t>
            </w:r>
          </w:p>
        </w:tc>
      </w:tr>
      <w:tr w:rsidR="00B22E99" w:rsidRPr="00DB7489" w14:paraId="029D7E4A" w14:textId="77777777" w:rsidTr="0028449A">
        <w:trPr>
          <w:cantSplit/>
          <w:tblHeader/>
        </w:trPr>
        <w:tc>
          <w:tcPr>
            <w:tcW w:w="5665" w:type="dxa"/>
          </w:tcPr>
          <w:p w14:paraId="0F302705" w14:textId="374321B3" w:rsidR="00B22E99" w:rsidRPr="00DB7489" w:rsidRDefault="00336A0D" w:rsidP="00B22E99">
            <w:pPr>
              <w:numPr>
                <w:ilvl w:val="0"/>
                <w:numId w:val="0"/>
              </w:numPr>
              <w:rPr>
                <w:b/>
                <w:bCs/>
              </w:rPr>
            </w:pPr>
            <w:r w:rsidRPr="00DB7489">
              <w:rPr>
                <w:b/>
                <w:bCs/>
              </w:rPr>
              <w:t>Total</w:t>
            </w:r>
          </w:p>
        </w:tc>
        <w:tc>
          <w:tcPr>
            <w:tcW w:w="1985" w:type="dxa"/>
          </w:tcPr>
          <w:p w14:paraId="4555AB68" w14:textId="6BE715B3" w:rsidR="00B22E99" w:rsidRPr="00DB7489" w:rsidRDefault="00336A0D" w:rsidP="00DB7489">
            <w:pPr>
              <w:numPr>
                <w:ilvl w:val="0"/>
                <w:numId w:val="0"/>
              </w:numPr>
              <w:jc w:val="center"/>
              <w:rPr>
                <w:b/>
                <w:bCs/>
              </w:rPr>
            </w:pPr>
            <w:r w:rsidRPr="00DB7489">
              <w:rPr>
                <w:b/>
                <w:bCs/>
              </w:rPr>
              <w:t>21</w:t>
            </w:r>
          </w:p>
        </w:tc>
      </w:tr>
    </w:tbl>
    <w:p w14:paraId="6E0586EC" w14:textId="77777777" w:rsidR="00B22E99" w:rsidRPr="00DB7489" w:rsidRDefault="00B22E99" w:rsidP="00B22E99">
      <w:pPr>
        <w:numPr>
          <w:ilvl w:val="0"/>
          <w:numId w:val="0"/>
        </w:numPr>
        <w:rPr>
          <w:b/>
          <w:bCs/>
        </w:rPr>
      </w:pPr>
    </w:p>
    <w:p w14:paraId="3351DA74" w14:textId="2C5A2920" w:rsidR="00F063BB" w:rsidRPr="002C30E3" w:rsidRDefault="00F063BB" w:rsidP="00F063BB">
      <w:pPr>
        <w:pStyle w:val="Heading3"/>
      </w:pPr>
      <w:r>
        <w:t xml:space="preserve"> </w:t>
      </w:r>
      <w:r w:rsidRPr="002C30E3">
        <w:t>Performance Highlights</w:t>
      </w:r>
    </w:p>
    <w:p w14:paraId="28F01AE0" w14:textId="40C3922E" w:rsidR="0051573E" w:rsidRPr="0051573E" w:rsidRDefault="003B37D4" w:rsidP="002756DC">
      <w:pPr>
        <w:numPr>
          <w:ilvl w:val="2"/>
          <w:numId w:val="7"/>
        </w:numPr>
        <w:ind w:left="567" w:hanging="567"/>
        <w:jc w:val="both"/>
      </w:pPr>
      <w:r w:rsidRPr="0051573E">
        <w:rPr>
          <w:rFonts w:cs="Arial"/>
          <w:szCs w:val="14"/>
        </w:rPr>
        <w:t xml:space="preserve">More than three quarters </w:t>
      </w:r>
      <w:r w:rsidR="00F063BB" w:rsidRPr="0051573E">
        <w:rPr>
          <w:rFonts w:cs="Arial"/>
          <w:szCs w:val="14"/>
        </w:rPr>
        <w:t>of the council’s performance measures (</w:t>
      </w:r>
      <w:r w:rsidRPr="0051573E">
        <w:rPr>
          <w:rFonts w:cs="Arial"/>
          <w:szCs w:val="14"/>
        </w:rPr>
        <w:t>76</w:t>
      </w:r>
      <w:r w:rsidR="00F063BB" w:rsidRPr="0051573E">
        <w:rPr>
          <w:rFonts w:cs="Arial"/>
          <w:szCs w:val="14"/>
        </w:rPr>
        <w:t xml:space="preserve">%) are on track. These include </w:t>
      </w:r>
      <w:r w:rsidR="002756DC">
        <w:rPr>
          <w:rFonts w:cs="Arial"/>
          <w:szCs w:val="14"/>
        </w:rPr>
        <w:t>the</w:t>
      </w:r>
      <w:r w:rsidRPr="0051573E">
        <w:rPr>
          <w:rFonts w:cs="Arial"/>
          <w:szCs w:val="14"/>
        </w:rPr>
        <w:t xml:space="preserve"> </w:t>
      </w:r>
      <w:r w:rsidR="002756DC">
        <w:rPr>
          <w:rFonts w:cs="Arial"/>
          <w:szCs w:val="14"/>
        </w:rPr>
        <w:t>lowest</w:t>
      </w:r>
      <w:r w:rsidRPr="0051573E">
        <w:rPr>
          <w:rFonts w:cs="Arial"/>
          <w:szCs w:val="14"/>
        </w:rPr>
        <w:t xml:space="preserve"> numbers of missed bins</w:t>
      </w:r>
      <w:r w:rsidR="002756DC">
        <w:rPr>
          <w:rFonts w:cs="Arial"/>
          <w:szCs w:val="14"/>
        </w:rPr>
        <w:t xml:space="preserve"> on record</w:t>
      </w:r>
      <w:r w:rsidRPr="0051573E">
        <w:rPr>
          <w:rFonts w:cs="Arial"/>
          <w:szCs w:val="14"/>
        </w:rPr>
        <w:t xml:space="preserve">, good </w:t>
      </w:r>
      <w:r w:rsidR="00F063BB" w:rsidRPr="0051573E">
        <w:rPr>
          <w:rFonts w:cs="Arial"/>
          <w:szCs w:val="14"/>
        </w:rPr>
        <w:t>performance on waste collection</w:t>
      </w:r>
      <w:r w:rsidR="00B85974">
        <w:rPr>
          <w:rFonts w:cs="Arial"/>
          <w:szCs w:val="14"/>
        </w:rPr>
        <w:t xml:space="preserve"> and</w:t>
      </w:r>
      <w:r w:rsidRPr="0051573E">
        <w:rPr>
          <w:rFonts w:cs="Arial"/>
          <w:szCs w:val="14"/>
        </w:rPr>
        <w:t xml:space="preserve"> </w:t>
      </w:r>
      <w:r w:rsidR="0051573E" w:rsidRPr="0051573E">
        <w:rPr>
          <w:rFonts w:cs="Arial"/>
          <w:szCs w:val="14"/>
        </w:rPr>
        <w:t>Council Tax in year collection for the year, a particular achievement considering the circumstances over the year</w:t>
      </w:r>
      <w:r w:rsidR="0051573E">
        <w:rPr>
          <w:rFonts w:cs="Arial"/>
          <w:szCs w:val="24"/>
        </w:rPr>
        <w:t>.</w:t>
      </w:r>
    </w:p>
    <w:p w14:paraId="37C56029" w14:textId="77777777" w:rsidR="00F063BB" w:rsidRPr="00F063BB" w:rsidRDefault="00F063BB" w:rsidP="00F063BB">
      <w:pPr>
        <w:pStyle w:val="Heading3"/>
        <w:rPr>
          <w:rFonts w:cstheme="minorBidi"/>
          <w:szCs w:val="22"/>
        </w:rPr>
      </w:pPr>
      <w:r>
        <w:t xml:space="preserve"> Performance Concerns</w:t>
      </w:r>
    </w:p>
    <w:p w14:paraId="7037A2BA" w14:textId="600B1D87" w:rsidR="00BF7098" w:rsidRDefault="00BF7098" w:rsidP="002756DC">
      <w:pPr>
        <w:numPr>
          <w:ilvl w:val="2"/>
          <w:numId w:val="7"/>
        </w:numPr>
        <w:spacing w:line="252" w:lineRule="auto"/>
        <w:ind w:left="567" w:hanging="567"/>
        <w:jc w:val="both"/>
        <w:rPr>
          <w:rFonts w:eastAsia="Times New Roman" w:cs="Arial"/>
          <w:szCs w:val="24"/>
        </w:rPr>
      </w:pPr>
      <w:bookmarkStart w:id="0" w:name="_Hlk101865068"/>
      <w:r>
        <w:rPr>
          <w:rFonts w:eastAsia="Times New Roman"/>
        </w:rPr>
        <w:t>Disappointingly the days taken to validate planning applications, which had improved in to Q3, decreased slightly in Q4. Unfortunately, there have been issues with the Planning Portal through which applications are received which have delayed processing of applications by up to two weeks. As a response to address these issues, the validation process has been changed to make things more manageable, and the team is optimistic this will have an impact in 2022/23.</w:t>
      </w:r>
      <w:r>
        <w:rPr>
          <w:rFonts w:eastAsia="Times New Roman"/>
          <w:color w:val="00B050"/>
        </w:rPr>
        <w:t xml:space="preserve"> </w:t>
      </w:r>
    </w:p>
    <w:p w14:paraId="216AB91A" w14:textId="00B7A9FC" w:rsidR="00BF7098" w:rsidRDefault="009D20E1" w:rsidP="002756DC">
      <w:pPr>
        <w:numPr>
          <w:ilvl w:val="2"/>
          <w:numId w:val="7"/>
        </w:numPr>
        <w:spacing w:line="252" w:lineRule="auto"/>
        <w:ind w:left="567" w:hanging="567"/>
        <w:jc w:val="both"/>
        <w:rPr>
          <w:rFonts w:ascii="Calibri" w:eastAsia="Times New Roman" w:hAnsi="Calibri" w:cs="Calibri"/>
          <w:sz w:val="22"/>
        </w:rPr>
      </w:pPr>
      <w:r>
        <w:rPr>
          <w:rFonts w:eastAsia="Times New Roman"/>
        </w:rPr>
        <w:t>Longer</w:t>
      </w:r>
      <w:r w:rsidR="00BF7098">
        <w:rPr>
          <w:rFonts w:eastAsia="Times New Roman"/>
        </w:rPr>
        <w:t xml:space="preserve"> validation times continue</w:t>
      </w:r>
      <w:r>
        <w:rPr>
          <w:rFonts w:eastAsia="Times New Roman"/>
        </w:rPr>
        <w:t xml:space="preserve"> </w:t>
      </w:r>
      <w:r w:rsidR="00BF7098">
        <w:rPr>
          <w:rFonts w:eastAsia="Times New Roman"/>
        </w:rPr>
        <w:t xml:space="preserve">to </w:t>
      </w:r>
      <w:r>
        <w:rPr>
          <w:rFonts w:eastAsia="Times New Roman"/>
        </w:rPr>
        <w:t xml:space="preserve">negatively impact </w:t>
      </w:r>
      <w:r w:rsidR="00BF7098">
        <w:rPr>
          <w:rFonts w:eastAsia="Times New Roman"/>
        </w:rPr>
        <w:t>the speed with which planning applications are being determined. ‘Major’ applications continue to do well, but the speed of determining ‘Minor’ and ‘Other’ applications have fallen in Q4. Determination of Householder applications, which has a challenging target of six weeks, has fallen yet again to 17% in Q4 and remains rated ‘red’. These types of smaller applications have very short timescales for determination and are where holdups in the validation process will have most impact.</w:t>
      </w:r>
    </w:p>
    <w:bookmarkEnd w:id="0"/>
    <w:p w14:paraId="0F31901E" w14:textId="6AE293AC" w:rsidR="002E4F0D" w:rsidRDefault="00F063BB" w:rsidP="002E4F0D">
      <w:pPr>
        <w:pStyle w:val="Heading2"/>
      </w:pPr>
      <w:r>
        <w:lastRenderedPageBreak/>
        <w:t>Five Year Plan Performance</w:t>
      </w:r>
    </w:p>
    <w:p w14:paraId="11481650" w14:textId="263611D1" w:rsidR="00F063BB" w:rsidRPr="00F063BB" w:rsidRDefault="00F063BB" w:rsidP="0002230F">
      <w:pPr>
        <w:spacing w:after="120" w:line="240" w:lineRule="auto"/>
        <w:ind w:left="567" w:hanging="567"/>
        <w:jc w:val="both"/>
      </w:pPr>
      <w:r>
        <w:rPr>
          <w:rFonts w:cs="Arial"/>
          <w:szCs w:val="14"/>
        </w:rPr>
        <w:t xml:space="preserve">Appendix 2 provides a detailed update </w:t>
      </w:r>
      <w:r w:rsidRPr="008E4C7E">
        <w:rPr>
          <w:rFonts w:cs="Arial"/>
          <w:szCs w:val="24"/>
        </w:rPr>
        <w:t xml:space="preserve">of progress made </w:t>
      </w:r>
      <w:r>
        <w:rPr>
          <w:rFonts w:cs="Arial"/>
          <w:szCs w:val="24"/>
        </w:rPr>
        <w:t xml:space="preserve">over the year </w:t>
      </w:r>
      <w:r w:rsidRPr="008E4C7E">
        <w:rPr>
          <w:rFonts w:cs="Arial"/>
          <w:szCs w:val="24"/>
        </w:rPr>
        <w:t xml:space="preserve">against every Five Year Plan action, as well as </w:t>
      </w:r>
      <w:r>
        <w:rPr>
          <w:rFonts w:cs="Arial"/>
          <w:szCs w:val="24"/>
        </w:rPr>
        <w:t xml:space="preserve">the </w:t>
      </w:r>
      <w:r w:rsidRPr="008E4C7E">
        <w:rPr>
          <w:rFonts w:cs="Arial"/>
          <w:szCs w:val="24"/>
        </w:rPr>
        <w:t>work undertaken to deliver the council’s Covid-19 Recovery Plans</w:t>
      </w:r>
      <w:r>
        <w:rPr>
          <w:rFonts w:cs="Arial"/>
          <w:szCs w:val="24"/>
        </w:rPr>
        <w:t>.</w:t>
      </w:r>
    </w:p>
    <w:p w14:paraId="12EF3CFE" w14:textId="34429B24" w:rsidR="00F063BB" w:rsidRPr="00901739" w:rsidRDefault="00F063BB" w:rsidP="009D20E1">
      <w:pPr>
        <w:ind w:left="567" w:hanging="567"/>
        <w:jc w:val="both"/>
      </w:pPr>
      <w:r>
        <w:rPr>
          <w:rFonts w:cs="Arial"/>
          <w:szCs w:val="24"/>
        </w:rPr>
        <w:t xml:space="preserve">The </w:t>
      </w:r>
      <w:r w:rsidR="009D20E1">
        <w:rPr>
          <w:rFonts w:cs="Arial"/>
          <w:szCs w:val="24"/>
        </w:rPr>
        <w:t>y</w:t>
      </w:r>
      <w:r>
        <w:rPr>
          <w:rFonts w:cs="Arial"/>
          <w:szCs w:val="24"/>
        </w:rPr>
        <w:t xml:space="preserve">ear </w:t>
      </w:r>
      <w:r w:rsidR="009D20E1">
        <w:rPr>
          <w:rFonts w:cs="Arial"/>
          <w:szCs w:val="24"/>
        </w:rPr>
        <w:t>e</w:t>
      </w:r>
      <w:r>
        <w:rPr>
          <w:rFonts w:cs="Arial"/>
          <w:szCs w:val="24"/>
        </w:rPr>
        <w:t>nd RAG status for the progress made to deliver the council’s Five Year Plan actions, as shown in Appendix 2, are as follows:</w:t>
      </w:r>
    </w:p>
    <w:p w14:paraId="7A4682C0" w14:textId="77777777" w:rsidR="00901739" w:rsidRPr="00F063BB" w:rsidRDefault="00901739" w:rsidP="00901739">
      <w:pPr>
        <w:numPr>
          <w:ilvl w:val="0"/>
          <w:numId w:val="0"/>
        </w:numPr>
        <w:ind w:left="567"/>
        <w:jc w:val="both"/>
      </w:pPr>
    </w:p>
    <w:tbl>
      <w:tblPr>
        <w:tblStyle w:val="TableGrid"/>
        <w:tblW w:w="0" w:type="auto"/>
        <w:tblLook w:val="04A0" w:firstRow="1" w:lastRow="0" w:firstColumn="1" w:lastColumn="0" w:noHBand="0" w:noVBand="1"/>
        <w:tblCaption w:val="Five Year Plan performance"/>
        <w:tblDescription w:val="The table describes the actions in our Five Year Plan and rates them green for on track, amber delayed and red not on track."/>
      </w:tblPr>
      <w:tblGrid>
        <w:gridCol w:w="4508"/>
        <w:gridCol w:w="4508"/>
      </w:tblGrid>
      <w:tr w:rsidR="00F063BB" w14:paraId="07A03BEB" w14:textId="77777777" w:rsidTr="0028449A">
        <w:trPr>
          <w:cantSplit/>
          <w:tblHeader/>
        </w:trPr>
        <w:tc>
          <w:tcPr>
            <w:tcW w:w="4508" w:type="dxa"/>
          </w:tcPr>
          <w:p w14:paraId="3C8ABEC7" w14:textId="77777777" w:rsidR="00F063BB" w:rsidRDefault="00F063BB" w:rsidP="00020890">
            <w:pPr>
              <w:numPr>
                <w:ilvl w:val="0"/>
                <w:numId w:val="0"/>
              </w:numPr>
            </w:pPr>
            <w:r>
              <w:t>Status</w:t>
            </w:r>
          </w:p>
        </w:tc>
        <w:tc>
          <w:tcPr>
            <w:tcW w:w="4508" w:type="dxa"/>
          </w:tcPr>
          <w:p w14:paraId="31C5AD90" w14:textId="77777777" w:rsidR="00F063BB" w:rsidRDefault="00F063BB" w:rsidP="00020890">
            <w:pPr>
              <w:numPr>
                <w:ilvl w:val="0"/>
                <w:numId w:val="0"/>
              </w:numPr>
            </w:pPr>
            <w:r>
              <w:t>Total</w:t>
            </w:r>
          </w:p>
        </w:tc>
      </w:tr>
      <w:tr w:rsidR="00F063BB" w14:paraId="3E5318F3" w14:textId="77777777" w:rsidTr="0028449A">
        <w:trPr>
          <w:cantSplit/>
          <w:tblHeader/>
        </w:trPr>
        <w:tc>
          <w:tcPr>
            <w:tcW w:w="4508" w:type="dxa"/>
            <w:shd w:val="clear" w:color="auto" w:fill="00B050"/>
          </w:tcPr>
          <w:p w14:paraId="2927483E" w14:textId="77777777" w:rsidR="00F063BB" w:rsidRDefault="00F063BB" w:rsidP="00020890">
            <w:pPr>
              <w:numPr>
                <w:ilvl w:val="0"/>
                <w:numId w:val="0"/>
              </w:numPr>
            </w:pPr>
            <w:r>
              <w:t>Green - On track</w:t>
            </w:r>
          </w:p>
        </w:tc>
        <w:tc>
          <w:tcPr>
            <w:tcW w:w="4508" w:type="dxa"/>
            <w:shd w:val="clear" w:color="auto" w:fill="00B050"/>
          </w:tcPr>
          <w:p w14:paraId="630B29E5" w14:textId="294B3DD6" w:rsidR="00F063BB" w:rsidRDefault="003A7B78" w:rsidP="00020890">
            <w:pPr>
              <w:numPr>
                <w:ilvl w:val="0"/>
                <w:numId w:val="0"/>
              </w:numPr>
            </w:pPr>
            <w:r>
              <w:t>3</w:t>
            </w:r>
            <w:r w:rsidR="00BE2228">
              <w:t>5</w:t>
            </w:r>
          </w:p>
        </w:tc>
      </w:tr>
      <w:tr w:rsidR="00F063BB" w14:paraId="116413E4" w14:textId="77777777" w:rsidTr="0028449A">
        <w:trPr>
          <w:cantSplit/>
          <w:tblHeader/>
        </w:trPr>
        <w:tc>
          <w:tcPr>
            <w:tcW w:w="4508" w:type="dxa"/>
            <w:shd w:val="clear" w:color="auto" w:fill="FFC000"/>
          </w:tcPr>
          <w:p w14:paraId="14F0E531" w14:textId="77777777" w:rsidR="00F063BB" w:rsidRDefault="00F063BB" w:rsidP="00020890">
            <w:pPr>
              <w:numPr>
                <w:ilvl w:val="0"/>
                <w:numId w:val="0"/>
              </w:numPr>
            </w:pPr>
            <w:r>
              <w:t>Amber - Behind schedule / slightly below target</w:t>
            </w:r>
          </w:p>
        </w:tc>
        <w:tc>
          <w:tcPr>
            <w:tcW w:w="4508" w:type="dxa"/>
            <w:shd w:val="clear" w:color="auto" w:fill="FFC000"/>
          </w:tcPr>
          <w:p w14:paraId="78954424" w14:textId="019D4237" w:rsidR="00F063BB" w:rsidRDefault="00BE2228" w:rsidP="00020890">
            <w:pPr>
              <w:numPr>
                <w:ilvl w:val="0"/>
                <w:numId w:val="0"/>
              </w:numPr>
            </w:pPr>
            <w:r>
              <w:t>4</w:t>
            </w:r>
          </w:p>
        </w:tc>
      </w:tr>
      <w:tr w:rsidR="00F063BB" w14:paraId="1809D54D" w14:textId="77777777" w:rsidTr="0028449A">
        <w:trPr>
          <w:cantSplit/>
          <w:tblHeader/>
        </w:trPr>
        <w:tc>
          <w:tcPr>
            <w:tcW w:w="4508" w:type="dxa"/>
            <w:shd w:val="clear" w:color="auto" w:fill="FF0000"/>
          </w:tcPr>
          <w:p w14:paraId="475BBA37" w14:textId="77777777" w:rsidR="00F063BB" w:rsidRDefault="00F063BB" w:rsidP="00020890">
            <w:pPr>
              <w:numPr>
                <w:ilvl w:val="0"/>
                <w:numId w:val="0"/>
              </w:numPr>
            </w:pPr>
            <w:r>
              <w:t>Red - Not on track</w:t>
            </w:r>
          </w:p>
        </w:tc>
        <w:tc>
          <w:tcPr>
            <w:tcW w:w="4508" w:type="dxa"/>
            <w:shd w:val="clear" w:color="auto" w:fill="FF0000"/>
          </w:tcPr>
          <w:p w14:paraId="2503A626" w14:textId="57353CFB" w:rsidR="00F063BB" w:rsidRDefault="003A7B78" w:rsidP="00020890">
            <w:pPr>
              <w:numPr>
                <w:ilvl w:val="0"/>
                <w:numId w:val="0"/>
              </w:numPr>
            </w:pPr>
            <w:r>
              <w:t>2</w:t>
            </w:r>
          </w:p>
        </w:tc>
      </w:tr>
      <w:tr w:rsidR="00F063BB" w14:paraId="601C3810" w14:textId="77777777" w:rsidTr="0028449A">
        <w:trPr>
          <w:cantSplit/>
          <w:trHeight w:val="327"/>
          <w:tblHeader/>
        </w:trPr>
        <w:tc>
          <w:tcPr>
            <w:tcW w:w="4508" w:type="dxa"/>
            <w:shd w:val="clear" w:color="auto" w:fill="000000" w:themeFill="text1"/>
          </w:tcPr>
          <w:p w14:paraId="4C48A81D" w14:textId="77777777" w:rsidR="00F063BB" w:rsidRDefault="00F063BB" w:rsidP="00020890">
            <w:pPr>
              <w:numPr>
                <w:ilvl w:val="0"/>
                <w:numId w:val="0"/>
              </w:numPr>
            </w:pPr>
            <w:r>
              <w:t>No current data available</w:t>
            </w:r>
          </w:p>
        </w:tc>
        <w:tc>
          <w:tcPr>
            <w:tcW w:w="4508" w:type="dxa"/>
            <w:shd w:val="clear" w:color="auto" w:fill="000000" w:themeFill="text1"/>
          </w:tcPr>
          <w:p w14:paraId="1A6642C5" w14:textId="468FF42D" w:rsidR="00F063BB" w:rsidRDefault="00BE2228" w:rsidP="00020890">
            <w:pPr>
              <w:numPr>
                <w:ilvl w:val="0"/>
                <w:numId w:val="0"/>
              </w:numPr>
            </w:pPr>
            <w:r>
              <w:t>0</w:t>
            </w:r>
          </w:p>
        </w:tc>
      </w:tr>
      <w:tr w:rsidR="00F063BB" w14:paraId="31A4D067" w14:textId="77777777" w:rsidTr="0028449A">
        <w:trPr>
          <w:cantSplit/>
          <w:tblHeader/>
        </w:trPr>
        <w:tc>
          <w:tcPr>
            <w:tcW w:w="4508" w:type="dxa"/>
          </w:tcPr>
          <w:p w14:paraId="359F9601" w14:textId="77777777" w:rsidR="00F063BB" w:rsidRDefault="00F063BB" w:rsidP="00020890">
            <w:pPr>
              <w:numPr>
                <w:ilvl w:val="0"/>
                <w:numId w:val="0"/>
              </w:numPr>
            </w:pPr>
            <w:r>
              <w:t>Total</w:t>
            </w:r>
          </w:p>
        </w:tc>
        <w:tc>
          <w:tcPr>
            <w:tcW w:w="4508" w:type="dxa"/>
          </w:tcPr>
          <w:p w14:paraId="464A762F" w14:textId="29742CC6" w:rsidR="00F063BB" w:rsidRDefault="00F063BB" w:rsidP="00020890">
            <w:pPr>
              <w:numPr>
                <w:ilvl w:val="0"/>
                <w:numId w:val="0"/>
              </w:numPr>
            </w:pPr>
            <w:r>
              <w:t>41</w:t>
            </w:r>
          </w:p>
        </w:tc>
      </w:tr>
    </w:tbl>
    <w:p w14:paraId="6916AD66" w14:textId="77777777" w:rsidR="00F063BB" w:rsidRPr="00F063BB" w:rsidRDefault="00F063BB" w:rsidP="00F063BB">
      <w:pPr>
        <w:numPr>
          <w:ilvl w:val="0"/>
          <w:numId w:val="0"/>
        </w:numPr>
        <w:ind w:left="357"/>
      </w:pPr>
    </w:p>
    <w:p w14:paraId="38265472" w14:textId="77777777" w:rsidR="00F063BB" w:rsidRPr="00F063BB" w:rsidRDefault="00F063BB" w:rsidP="00F063BB">
      <w:pPr>
        <w:pStyle w:val="Heading3"/>
        <w:rPr>
          <w:rFonts w:cstheme="minorBidi"/>
          <w:szCs w:val="22"/>
        </w:rPr>
      </w:pPr>
      <w:r>
        <w:t xml:space="preserve"> Performance Highlights</w:t>
      </w:r>
    </w:p>
    <w:p w14:paraId="47E65C1C" w14:textId="68F7660D" w:rsidR="00BE2228" w:rsidRPr="00F063BB" w:rsidRDefault="00F063BB" w:rsidP="00BE2228">
      <w:pPr>
        <w:numPr>
          <w:ilvl w:val="2"/>
          <w:numId w:val="7"/>
        </w:numPr>
        <w:spacing w:after="120" w:line="240" w:lineRule="auto"/>
        <w:ind w:left="567" w:hanging="709"/>
        <w:jc w:val="both"/>
      </w:pPr>
      <w:r w:rsidRPr="001A6AE4">
        <w:rPr>
          <w:rFonts w:cs="Arial"/>
          <w:szCs w:val="14"/>
        </w:rPr>
        <w:t xml:space="preserve">Despite the Covid-19 pandemic and associated recovery actions there has continued to be a significant amount of good progress made to deliver the Five Year Plan actions with </w:t>
      </w:r>
      <w:r w:rsidR="003A7B78" w:rsidRPr="00BE2228">
        <w:rPr>
          <w:rFonts w:cs="Arial"/>
          <w:szCs w:val="14"/>
        </w:rPr>
        <w:t>8</w:t>
      </w:r>
      <w:r w:rsidR="00BE2228" w:rsidRPr="00BE2228">
        <w:rPr>
          <w:rFonts w:cs="Arial"/>
          <w:szCs w:val="14"/>
        </w:rPr>
        <w:t>3</w:t>
      </w:r>
      <w:r w:rsidRPr="001A6AE4">
        <w:rPr>
          <w:rFonts w:cs="Arial"/>
          <w:szCs w:val="14"/>
        </w:rPr>
        <w:t>%</w:t>
      </w:r>
      <w:r w:rsidRPr="001A6AE4">
        <w:rPr>
          <w:rFonts w:cs="Arial"/>
          <w:color w:val="00B050"/>
          <w:szCs w:val="14"/>
        </w:rPr>
        <w:t xml:space="preserve"> </w:t>
      </w:r>
      <w:r w:rsidRPr="001A6AE4">
        <w:rPr>
          <w:rFonts w:cs="Arial"/>
          <w:szCs w:val="14"/>
        </w:rPr>
        <w:t>of them rated as ‘on track’</w:t>
      </w:r>
      <w:r>
        <w:rPr>
          <w:rFonts w:cs="Arial"/>
          <w:szCs w:val="14"/>
        </w:rPr>
        <w:t>.</w:t>
      </w:r>
      <w:bookmarkStart w:id="1" w:name="_Hlk101767705"/>
    </w:p>
    <w:bookmarkEnd w:id="1"/>
    <w:p w14:paraId="36927762" w14:textId="77777777" w:rsidR="00F063BB" w:rsidRDefault="00F063BB" w:rsidP="00F063BB">
      <w:pPr>
        <w:pStyle w:val="Heading3"/>
      </w:pPr>
      <w:r>
        <w:t xml:space="preserve"> Performance Concerns</w:t>
      </w:r>
    </w:p>
    <w:p w14:paraId="02315096" w14:textId="33CDBA28" w:rsidR="00F063BB" w:rsidRPr="00B474DA" w:rsidRDefault="003A7B78" w:rsidP="0002230F">
      <w:pPr>
        <w:numPr>
          <w:ilvl w:val="2"/>
          <w:numId w:val="7"/>
        </w:numPr>
        <w:spacing w:after="120" w:line="240" w:lineRule="auto"/>
        <w:ind w:left="567" w:hanging="567"/>
        <w:jc w:val="both"/>
      </w:pPr>
      <w:r w:rsidRPr="00B474DA">
        <w:rPr>
          <w:rFonts w:cs="Arial"/>
          <w:szCs w:val="14"/>
        </w:rPr>
        <w:t>Two</w:t>
      </w:r>
      <w:r w:rsidR="00F063BB" w:rsidRPr="00B474DA">
        <w:rPr>
          <w:rFonts w:cs="Arial"/>
          <w:szCs w:val="14"/>
        </w:rPr>
        <w:t xml:space="preserve"> Five Year Plan action</w:t>
      </w:r>
      <w:r w:rsidR="00B474DA" w:rsidRPr="00B474DA">
        <w:rPr>
          <w:rFonts w:cs="Arial"/>
          <w:szCs w:val="14"/>
        </w:rPr>
        <w:t xml:space="preserve"> are now </w:t>
      </w:r>
      <w:r w:rsidR="00F063BB" w:rsidRPr="00B474DA">
        <w:rPr>
          <w:rFonts w:cs="Arial"/>
          <w:szCs w:val="14"/>
        </w:rPr>
        <w:t xml:space="preserve">rated as ‘red’ for </w:t>
      </w:r>
      <w:r w:rsidR="00B474DA" w:rsidRPr="00B474DA">
        <w:rPr>
          <w:rFonts w:cs="Arial"/>
          <w:szCs w:val="14"/>
        </w:rPr>
        <w:t>the year end. One of these has been flagged as an issue all year</w:t>
      </w:r>
      <w:r w:rsidR="00F063BB" w:rsidRPr="00B474DA">
        <w:rPr>
          <w:rFonts w:cs="Arial"/>
          <w:szCs w:val="14"/>
        </w:rPr>
        <w:t xml:space="preserve"> due to the further delay, approved by Councils, to the timetable for the </w:t>
      </w:r>
      <w:r w:rsidR="006D6F8F">
        <w:rPr>
          <w:rFonts w:cs="Arial"/>
          <w:szCs w:val="14"/>
        </w:rPr>
        <w:t>SWDPR</w:t>
      </w:r>
      <w:r w:rsidR="00F063BB" w:rsidRPr="00B474DA">
        <w:rPr>
          <w:rFonts w:cs="Arial"/>
          <w:szCs w:val="14"/>
        </w:rPr>
        <w:t xml:space="preserve"> (see also 4.1). Work continues to progress the review</w:t>
      </w:r>
      <w:r w:rsidR="00B474DA" w:rsidRPr="00B474DA">
        <w:rPr>
          <w:rFonts w:cs="Arial"/>
          <w:szCs w:val="14"/>
        </w:rPr>
        <w:t xml:space="preserve"> and a draft has been circulated</w:t>
      </w:r>
      <w:r w:rsidR="00F063BB" w:rsidRPr="00B474DA">
        <w:rPr>
          <w:rFonts w:cs="Arial"/>
          <w:szCs w:val="14"/>
        </w:rPr>
        <w:t>, but original plan timescales will not be met.</w:t>
      </w:r>
    </w:p>
    <w:p w14:paraId="239A6281" w14:textId="3AA75F53" w:rsidR="00BE2228" w:rsidRPr="00B474DA" w:rsidRDefault="00B474DA" w:rsidP="008234B9">
      <w:pPr>
        <w:numPr>
          <w:ilvl w:val="2"/>
          <w:numId w:val="7"/>
        </w:numPr>
        <w:spacing w:after="120" w:line="240" w:lineRule="auto"/>
        <w:ind w:left="567" w:hanging="567"/>
        <w:jc w:val="both"/>
      </w:pPr>
      <w:r w:rsidRPr="00BE2228">
        <w:rPr>
          <w:rFonts w:cs="Arial"/>
          <w:szCs w:val="14"/>
        </w:rPr>
        <w:t>The other relates to t</w:t>
      </w:r>
      <w:r w:rsidR="00290D38" w:rsidRPr="00BE2228">
        <w:rPr>
          <w:rFonts w:cs="Arial"/>
          <w:szCs w:val="24"/>
        </w:rPr>
        <w:t>he target number of visits to our leisure centres</w:t>
      </w:r>
      <w:r w:rsidR="005E7D21" w:rsidRPr="00BE2228">
        <w:rPr>
          <w:rFonts w:cs="Arial"/>
          <w:szCs w:val="24"/>
        </w:rPr>
        <w:t xml:space="preserve"> which</w:t>
      </w:r>
      <w:r w:rsidR="00290D38" w:rsidRPr="00BE2228">
        <w:rPr>
          <w:rFonts w:cs="Arial"/>
          <w:szCs w:val="24"/>
        </w:rPr>
        <w:t xml:space="preserve"> had already been revised for 2021/22 due to the impact of Covid-19 restrictions in 2020/21. As hoped, the number of visits recorded in Q</w:t>
      </w:r>
      <w:r w:rsidRPr="00BE2228">
        <w:rPr>
          <w:rFonts w:cs="Arial"/>
          <w:szCs w:val="24"/>
        </w:rPr>
        <w:t xml:space="preserve">uarters </w:t>
      </w:r>
      <w:r w:rsidR="00290D38" w:rsidRPr="00BE2228">
        <w:rPr>
          <w:rFonts w:cs="Arial"/>
          <w:szCs w:val="24"/>
        </w:rPr>
        <w:t>2</w:t>
      </w:r>
      <w:r w:rsidRPr="00BE2228">
        <w:rPr>
          <w:rFonts w:cs="Arial"/>
          <w:szCs w:val="24"/>
        </w:rPr>
        <w:t xml:space="preserve">, </w:t>
      </w:r>
      <w:r w:rsidR="00290D38" w:rsidRPr="00BE2228">
        <w:rPr>
          <w:rFonts w:cs="Arial"/>
          <w:szCs w:val="24"/>
        </w:rPr>
        <w:t>3</w:t>
      </w:r>
      <w:r w:rsidRPr="00BE2228">
        <w:rPr>
          <w:rFonts w:cs="Arial"/>
          <w:szCs w:val="24"/>
        </w:rPr>
        <w:t xml:space="preserve"> and 4 </w:t>
      </w:r>
      <w:r w:rsidR="00290D38" w:rsidRPr="00BE2228">
        <w:rPr>
          <w:rFonts w:cs="Arial"/>
          <w:szCs w:val="24"/>
        </w:rPr>
        <w:t xml:space="preserve">increased significantly from Q1 (to </w:t>
      </w:r>
      <w:r w:rsidRPr="00BE2228">
        <w:rPr>
          <w:rFonts w:cs="Arial"/>
          <w:szCs w:val="24"/>
        </w:rPr>
        <w:t>more than 83</w:t>
      </w:r>
      <w:r w:rsidR="00290D38" w:rsidRPr="00BE2228">
        <w:rPr>
          <w:rFonts w:cs="Arial"/>
          <w:szCs w:val="24"/>
        </w:rPr>
        <w:t>k in Q</w:t>
      </w:r>
      <w:r w:rsidRPr="00BE2228">
        <w:rPr>
          <w:rFonts w:cs="Arial"/>
          <w:szCs w:val="24"/>
        </w:rPr>
        <w:t>4</w:t>
      </w:r>
      <w:r w:rsidR="00290D38" w:rsidRPr="00BE2228">
        <w:rPr>
          <w:rFonts w:cs="Arial"/>
          <w:szCs w:val="24"/>
        </w:rPr>
        <w:t xml:space="preserve">), however this </w:t>
      </w:r>
      <w:r w:rsidRPr="00BE2228">
        <w:rPr>
          <w:rFonts w:cs="Arial"/>
          <w:szCs w:val="24"/>
        </w:rPr>
        <w:t xml:space="preserve">has not </w:t>
      </w:r>
      <w:r w:rsidR="00290D38" w:rsidRPr="00BE2228">
        <w:rPr>
          <w:rFonts w:cs="Arial"/>
          <w:szCs w:val="24"/>
        </w:rPr>
        <w:t>be</w:t>
      </w:r>
      <w:r w:rsidRPr="00BE2228">
        <w:rPr>
          <w:rFonts w:cs="Arial"/>
          <w:szCs w:val="24"/>
        </w:rPr>
        <w:t>en</w:t>
      </w:r>
      <w:r w:rsidR="00290D38" w:rsidRPr="00BE2228">
        <w:rPr>
          <w:rFonts w:cs="Arial"/>
          <w:szCs w:val="24"/>
        </w:rPr>
        <w:t xml:space="preserve"> enough to reach the annual goal of nearly 390k </w:t>
      </w:r>
      <w:r w:rsidRPr="00BE2228">
        <w:rPr>
          <w:rFonts w:cs="Arial"/>
          <w:szCs w:val="24"/>
        </w:rPr>
        <w:t xml:space="preserve">needed </w:t>
      </w:r>
      <w:r w:rsidR="00290D38" w:rsidRPr="00BE2228">
        <w:rPr>
          <w:rFonts w:cs="Arial"/>
          <w:szCs w:val="24"/>
        </w:rPr>
        <w:t>to contribute to the long term target</w:t>
      </w:r>
      <w:r w:rsidRPr="00BE2228">
        <w:rPr>
          <w:rFonts w:cs="Arial"/>
          <w:szCs w:val="24"/>
        </w:rPr>
        <w:t xml:space="preserve"> (total for the year = 276k)</w:t>
      </w:r>
      <w:r w:rsidR="00290D38" w:rsidRPr="00BE2228">
        <w:rPr>
          <w:rFonts w:cs="Arial"/>
          <w:szCs w:val="24"/>
        </w:rPr>
        <w:t xml:space="preserve">. This </w:t>
      </w:r>
      <w:r w:rsidRPr="00BE2228">
        <w:rPr>
          <w:rFonts w:cs="Arial"/>
          <w:szCs w:val="24"/>
        </w:rPr>
        <w:t xml:space="preserve">continues to be </w:t>
      </w:r>
      <w:r w:rsidR="00290D38" w:rsidRPr="00BE2228">
        <w:rPr>
          <w:rFonts w:cs="Arial"/>
          <w:szCs w:val="24"/>
        </w:rPr>
        <w:t>closely monitored.</w:t>
      </w:r>
    </w:p>
    <w:p w14:paraId="7B728A87" w14:textId="4200BF5B" w:rsidR="002E4F0D" w:rsidRPr="00BE2228" w:rsidRDefault="00B474DA" w:rsidP="00F20F7A">
      <w:pPr>
        <w:numPr>
          <w:ilvl w:val="2"/>
          <w:numId w:val="7"/>
        </w:numPr>
        <w:ind w:left="567" w:hanging="567"/>
        <w:jc w:val="both"/>
      </w:pPr>
      <w:r>
        <w:rPr>
          <w:rFonts w:cs="Arial"/>
          <w:szCs w:val="14"/>
        </w:rPr>
        <w:t>A</w:t>
      </w:r>
      <w:r w:rsidRPr="00290D38">
        <w:rPr>
          <w:rFonts w:cs="Arial"/>
          <w:szCs w:val="14"/>
        </w:rPr>
        <w:t xml:space="preserve"> </w:t>
      </w:r>
      <w:r w:rsidR="0013772E">
        <w:rPr>
          <w:rFonts w:cs="Arial"/>
          <w:szCs w:val="14"/>
        </w:rPr>
        <w:t xml:space="preserve">very </w:t>
      </w:r>
      <w:r>
        <w:rPr>
          <w:rFonts w:cs="Arial"/>
          <w:szCs w:val="14"/>
        </w:rPr>
        <w:t xml:space="preserve">small </w:t>
      </w:r>
      <w:r w:rsidRPr="001F65B3">
        <w:rPr>
          <w:rFonts w:cs="Arial"/>
          <w:szCs w:val="14"/>
        </w:rPr>
        <w:t xml:space="preserve">number </w:t>
      </w:r>
      <w:r w:rsidRPr="001F65B3">
        <w:rPr>
          <w:rFonts w:cs="Arial"/>
          <w:szCs w:val="24"/>
        </w:rPr>
        <w:t>of areas of activity have been rated as ‘amber’, and this is generally due to the impact of the Coronavirus slowing progress on delivery</w:t>
      </w:r>
      <w:r>
        <w:rPr>
          <w:rFonts w:cs="Arial"/>
          <w:szCs w:val="24"/>
        </w:rPr>
        <w:t>.</w:t>
      </w:r>
    </w:p>
    <w:p w14:paraId="31B9D57C" w14:textId="7E12F54F" w:rsidR="00BE2228" w:rsidRPr="00BE2228" w:rsidRDefault="00BE2228" w:rsidP="00F20F7A">
      <w:pPr>
        <w:numPr>
          <w:ilvl w:val="2"/>
          <w:numId w:val="7"/>
        </w:numPr>
        <w:ind w:left="567" w:hanging="567"/>
        <w:jc w:val="both"/>
      </w:pPr>
      <w:r>
        <w:rPr>
          <w:rFonts w:cs="Arial"/>
          <w:szCs w:val="24"/>
        </w:rPr>
        <w:lastRenderedPageBreak/>
        <w:t xml:space="preserve">The delivery of Disabled Facilities Grants (DFGs) through the Home Improvement Agency (HIA) has returned to Amber for the end year position. At the end of the year 42 DFGs had been completed. Whilst this is below the local target a further 15 DFGs have been already been approved, including some larger, higher value works, and there are a further 44 </w:t>
      </w:r>
      <w:r w:rsidR="00F47284">
        <w:rPr>
          <w:rFonts w:cs="Arial"/>
          <w:szCs w:val="24"/>
        </w:rPr>
        <w:t xml:space="preserve">DFGs </w:t>
      </w:r>
      <w:r>
        <w:rPr>
          <w:rFonts w:cs="Arial"/>
          <w:szCs w:val="24"/>
        </w:rPr>
        <w:t xml:space="preserve">currently being processed. As previously highlighted, this performance is largely due to the impact of the pandemic and the capacity of Occupational Therapists to carry out the assessment process, shortage of contractors and delays with accessing materials. </w:t>
      </w:r>
      <w:r w:rsidR="00F47284">
        <w:rPr>
          <w:rFonts w:cs="Arial"/>
          <w:szCs w:val="24"/>
        </w:rPr>
        <w:t>Housing services</w:t>
      </w:r>
      <w:r>
        <w:rPr>
          <w:rFonts w:cs="Arial"/>
          <w:szCs w:val="24"/>
        </w:rPr>
        <w:t xml:space="preserve"> continue to work with the HIA to improve this, includ</w:t>
      </w:r>
      <w:r w:rsidR="00F47284">
        <w:rPr>
          <w:rFonts w:cs="Arial"/>
          <w:szCs w:val="24"/>
        </w:rPr>
        <w:t>ing</w:t>
      </w:r>
      <w:r>
        <w:rPr>
          <w:rFonts w:cs="Arial"/>
          <w:szCs w:val="24"/>
        </w:rPr>
        <w:t xml:space="preserve"> proposals to increase Occupational Therapist capacity to overcome the backlog of referrals and to increase the productivity of the HIA in line with contract expectations.</w:t>
      </w:r>
    </w:p>
    <w:p w14:paraId="22651C68" w14:textId="2EDC532D" w:rsidR="00C60FB0" w:rsidRDefault="000245A6" w:rsidP="00D27299">
      <w:pPr>
        <w:pStyle w:val="Heading2"/>
        <w:spacing w:after="120" w:line="240" w:lineRule="auto"/>
      </w:pPr>
      <w:r w:rsidRPr="00737E9E">
        <w:t>Implications and impact</w:t>
      </w:r>
    </w:p>
    <w:p w14:paraId="556FB5D2" w14:textId="2D499A4B" w:rsidR="00C60FB0" w:rsidRDefault="00B81FE3" w:rsidP="00D27299">
      <w:pPr>
        <w:pStyle w:val="Heading3"/>
        <w:numPr>
          <w:ilvl w:val="0"/>
          <w:numId w:val="0"/>
        </w:numPr>
        <w:spacing w:after="120"/>
      </w:pPr>
      <w:r>
        <w:t>What are the financial/resource implications?</w:t>
      </w:r>
    </w:p>
    <w:p w14:paraId="613EA737" w14:textId="44AA7710" w:rsidR="00B81FE3" w:rsidRPr="00B81FE3" w:rsidRDefault="00290D38" w:rsidP="00D27299">
      <w:pPr>
        <w:numPr>
          <w:ilvl w:val="0"/>
          <w:numId w:val="0"/>
        </w:numPr>
        <w:spacing w:after="120" w:line="240" w:lineRule="auto"/>
        <w:ind w:left="357" w:hanging="357"/>
      </w:pPr>
      <w:r>
        <w:t>None</w:t>
      </w:r>
    </w:p>
    <w:p w14:paraId="669671D9" w14:textId="7BB0F633" w:rsidR="00C60FB0" w:rsidRDefault="00B81FE3" w:rsidP="00D27299">
      <w:pPr>
        <w:pStyle w:val="Heading3"/>
        <w:numPr>
          <w:ilvl w:val="0"/>
          <w:numId w:val="0"/>
        </w:numPr>
        <w:spacing w:after="120"/>
      </w:pPr>
      <w:r>
        <w:t>What are the risks?</w:t>
      </w:r>
    </w:p>
    <w:p w14:paraId="588A3461" w14:textId="3F55C2DC" w:rsidR="00B81FE3" w:rsidRPr="00B81FE3" w:rsidRDefault="00290D38" w:rsidP="00D27299">
      <w:pPr>
        <w:numPr>
          <w:ilvl w:val="0"/>
          <w:numId w:val="0"/>
        </w:numPr>
        <w:spacing w:after="120" w:line="240" w:lineRule="auto"/>
      </w:pPr>
      <w:r w:rsidRPr="00B6671D">
        <w:rPr>
          <w:rFonts w:cs="Arial"/>
          <w:szCs w:val="24"/>
        </w:rPr>
        <w:t>Failure to recognise or</w:t>
      </w:r>
      <w:r w:rsidRPr="00B6671D">
        <w:rPr>
          <w:rFonts w:cs="Arial"/>
          <w:b/>
          <w:bCs/>
          <w:i/>
          <w:iCs/>
          <w:szCs w:val="24"/>
        </w:rPr>
        <w:t xml:space="preserve"> </w:t>
      </w:r>
      <w:r w:rsidRPr="00687E0A">
        <w:rPr>
          <w:rFonts w:cs="Arial"/>
          <w:szCs w:val="24"/>
        </w:rPr>
        <w:t>address strategic issues within a reasonable time scale could</w:t>
      </w:r>
      <w:r>
        <w:rPr>
          <w:rFonts w:cs="Arial"/>
          <w:szCs w:val="24"/>
        </w:rPr>
        <w:t xml:space="preserve"> </w:t>
      </w:r>
      <w:r w:rsidRPr="00687E0A">
        <w:rPr>
          <w:rFonts w:cs="Arial"/>
          <w:szCs w:val="24"/>
        </w:rPr>
        <w:t>result in loss of credibility and performance. This management of underperformance will be addressed through senior level review processes as per the Performance Management Framework</w:t>
      </w:r>
    </w:p>
    <w:p w14:paraId="4F265F31" w14:textId="77777777" w:rsidR="00E3568E" w:rsidRDefault="00E3568E" w:rsidP="00D27299">
      <w:pPr>
        <w:pStyle w:val="Heading2"/>
        <w:spacing w:after="120" w:line="240" w:lineRule="auto"/>
      </w:pPr>
      <w:r>
        <w:t>O</w:t>
      </w:r>
      <w:r w:rsidR="000245A6" w:rsidRPr="00737E9E">
        <w:t>utcomes of the impact assessment</w:t>
      </w:r>
    </w:p>
    <w:p w14:paraId="5CA79307" w14:textId="67D04A5A" w:rsidR="00C60FB0" w:rsidRDefault="000245A6" w:rsidP="00D27299">
      <w:pPr>
        <w:pStyle w:val="Heading3"/>
        <w:numPr>
          <w:ilvl w:val="0"/>
          <w:numId w:val="0"/>
        </w:numPr>
        <w:spacing w:after="120"/>
      </w:pPr>
      <w:r>
        <w:t>Privacy</w:t>
      </w:r>
      <w:r w:rsidR="00C60FB0">
        <w:t xml:space="preserve"> </w:t>
      </w:r>
    </w:p>
    <w:p w14:paraId="22F12DC5" w14:textId="2361BF76" w:rsidR="00810166" w:rsidRDefault="00D27299" w:rsidP="00D27299">
      <w:pPr>
        <w:numPr>
          <w:ilvl w:val="0"/>
          <w:numId w:val="0"/>
        </w:numPr>
        <w:spacing w:after="120" w:line="240" w:lineRule="auto"/>
      </w:pPr>
      <w:r>
        <w:t>None</w:t>
      </w:r>
      <w:r w:rsidR="00290D38" w:rsidRPr="00290D38">
        <w:t>.</w:t>
      </w:r>
    </w:p>
    <w:p w14:paraId="6E6BB032" w14:textId="4553A0D1" w:rsidR="00737E9E" w:rsidRDefault="000245A6" w:rsidP="00D27299">
      <w:pPr>
        <w:pStyle w:val="Heading3"/>
        <w:numPr>
          <w:ilvl w:val="0"/>
          <w:numId w:val="0"/>
        </w:numPr>
        <w:spacing w:after="120"/>
      </w:pPr>
      <w:r>
        <w:t>Council pr</w:t>
      </w:r>
      <w:r w:rsidR="00737E9E">
        <w:t>i</w:t>
      </w:r>
      <w:r>
        <w:t>orities</w:t>
      </w:r>
    </w:p>
    <w:p w14:paraId="617EB5DD" w14:textId="20C4E8F4" w:rsidR="00810166" w:rsidRPr="00810166" w:rsidRDefault="00D27299" w:rsidP="00D27299">
      <w:pPr>
        <w:numPr>
          <w:ilvl w:val="0"/>
          <w:numId w:val="0"/>
        </w:numPr>
        <w:spacing w:after="120" w:line="240" w:lineRule="auto"/>
      </w:pPr>
      <w:r>
        <w:t>None</w:t>
      </w:r>
      <w:r w:rsidR="00290D38">
        <w:t>.</w:t>
      </w:r>
    </w:p>
    <w:p w14:paraId="2F63DD4F" w14:textId="344D4C37" w:rsidR="000245A6" w:rsidRDefault="000245A6" w:rsidP="00D27299">
      <w:pPr>
        <w:pStyle w:val="Heading3"/>
        <w:numPr>
          <w:ilvl w:val="0"/>
          <w:numId w:val="0"/>
        </w:numPr>
        <w:spacing w:after="120"/>
      </w:pPr>
      <w:r>
        <w:t>Equalities</w:t>
      </w:r>
    </w:p>
    <w:p w14:paraId="71C5AC2C" w14:textId="03CEBD87" w:rsidR="000814B0" w:rsidRDefault="00D27299" w:rsidP="00D27299">
      <w:pPr>
        <w:numPr>
          <w:ilvl w:val="0"/>
          <w:numId w:val="0"/>
        </w:numPr>
        <w:spacing w:after="120" w:line="240" w:lineRule="auto"/>
      </w:pPr>
      <w:r>
        <w:t>None</w:t>
      </w:r>
      <w:r w:rsidR="00247759" w:rsidRPr="00290D38">
        <w:t>.</w:t>
      </w:r>
    </w:p>
    <w:p w14:paraId="69DC6708" w14:textId="110230C0" w:rsidR="000245A6" w:rsidRDefault="000245A6" w:rsidP="00D27299">
      <w:pPr>
        <w:pStyle w:val="Heading2"/>
        <w:numPr>
          <w:ilvl w:val="0"/>
          <w:numId w:val="0"/>
        </w:numPr>
        <w:spacing w:after="120" w:line="240" w:lineRule="auto"/>
        <w:ind w:left="360" w:hanging="360"/>
      </w:pPr>
      <w:r w:rsidRPr="00737E9E">
        <w:t>Appendice</w:t>
      </w:r>
      <w:r w:rsidR="006A145B" w:rsidRPr="00737E9E">
        <w:t>s</w:t>
      </w:r>
    </w:p>
    <w:p w14:paraId="0E75685A" w14:textId="1C4E39BC" w:rsidR="00C60FB0" w:rsidRDefault="00290D38" w:rsidP="00C60FB0">
      <w:pPr>
        <w:pStyle w:val="ListParagraph"/>
        <w:numPr>
          <w:ilvl w:val="0"/>
          <w:numId w:val="8"/>
        </w:numPr>
      </w:pPr>
      <w:r>
        <w:t>Appendix 1a Performance data</w:t>
      </w:r>
    </w:p>
    <w:p w14:paraId="33CDCF01" w14:textId="41CFFBA1" w:rsidR="00C60FB0" w:rsidRDefault="00290D38" w:rsidP="00C60FB0">
      <w:pPr>
        <w:pStyle w:val="ListParagraph"/>
        <w:numPr>
          <w:ilvl w:val="0"/>
          <w:numId w:val="8"/>
        </w:numPr>
      </w:pPr>
      <w:r>
        <w:t>Appendix 1b Workload/Volume Data</w:t>
      </w:r>
    </w:p>
    <w:p w14:paraId="3D34645D" w14:textId="39A04D74" w:rsidR="00C60FB0" w:rsidRDefault="00290D38" w:rsidP="00C60FB0">
      <w:pPr>
        <w:pStyle w:val="ListParagraph"/>
        <w:numPr>
          <w:ilvl w:val="0"/>
          <w:numId w:val="8"/>
        </w:numPr>
      </w:pPr>
      <w:r>
        <w:t>Appendix 2 Five Year Plan Summary</w:t>
      </w:r>
    </w:p>
    <w:p w14:paraId="00B7A5C0" w14:textId="2DDFA21D" w:rsidR="000245A6" w:rsidRDefault="00737E9E" w:rsidP="00D27299">
      <w:pPr>
        <w:pStyle w:val="Heading2"/>
        <w:numPr>
          <w:ilvl w:val="0"/>
          <w:numId w:val="0"/>
        </w:numPr>
        <w:spacing w:after="120" w:line="240" w:lineRule="auto"/>
        <w:ind w:left="360" w:hanging="360"/>
      </w:pPr>
      <w:r>
        <w:t>B</w:t>
      </w:r>
      <w:r w:rsidR="000245A6" w:rsidRPr="00737E9E">
        <w:t>ackground papers</w:t>
      </w:r>
    </w:p>
    <w:p w14:paraId="63AE4ED5" w14:textId="39B51F0E" w:rsidR="00AA68D6" w:rsidRDefault="00290D38" w:rsidP="00D27299">
      <w:pPr>
        <w:numPr>
          <w:ilvl w:val="0"/>
          <w:numId w:val="0"/>
        </w:numPr>
        <w:spacing w:after="120" w:line="240" w:lineRule="auto"/>
      </w:pPr>
      <w:r w:rsidRPr="00290D38">
        <w:t>None</w:t>
      </w:r>
    </w:p>
    <w:sectPr w:rsidR="00AA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21.5pt" o:bullet="t">
        <v:imagedata r:id="rId1" o:title="Trimark"/>
      </v:shape>
    </w:pict>
  </w:numPicBullet>
  <w:abstractNum w:abstractNumId="0" w15:restartNumberingAfterBreak="0">
    <w:nsid w:val="173B6D04"/>
    <w:multiLevelType w:val="multilevel"/>
    <w:tmpl w:val="7B002F6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694C15"/>
    <w:multiLevelType w:val="hybridMultilevel"/>
    <w:tmpl w:val="ED90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F3CF2"/>
    <w:multiLevelType w:val="hybridMultilevel"/>
    <w:tmpl w:val="A5EC020C"/>
    <w:lvl w:ilvl="0" w:tplc="8166A5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33618"/>
    <w:multiLevelType w:val="hybridMultilevel"/>
    <w:tmpl w:val="357413CC"/>
    <w:lvl w:ilvl="0" w:tplc="8E12D4EA">
      <w:start w:val="1"/>
      <w:numFmt w:val="lowerLetter"/>
      <w:lvlText w:val="%1)"/>
      <w:lvlJc w:val="left"/>
      <w:pPr>
        <w:ind w:left="773" w:hanging="360"/>
      </w:pPr>
      <w:rPr>
        <w:rFonts w:ascii="Arial" w:hAnsi="Arial" w:cs="Arial" w:hint="default"/>
        <w:b/>
        <w:bCs/>
        <w:sz w:val="24"/>
        <w:szCs w:val="24"/>
      </w:rPr>
    </w:lvl>
    <w:lvl w:ilvl="1" w:tplc="08090019">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4" w15:restartNumberingAfterBreak="0">
    <w:nsid w:val="1E0E3338"/>
    <w:multiLevelType w:val="hybridMultilevel"/>
    <w:tmpl w:val="6BCC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651D9"/>
    <w:multiLevelType w:val="multilevel"/>
    <w:tmpl w:val="CB145F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D55095"/>
    <w:multiLevelType w:val="multilevel"/>
    <w:tmpl w:val="B09AA730"/>
    <w:numStyleLink w:val="Committeereportnumbering"/>
  </w:abstractNum>
  <w:abstractNum w:abstractNumId="7" w15:restartNumberingAfterBreak="0">
    <w:nsid w:val="34F149CD"/>
    <w:multiLevelType w:val="hybridMultilevel"/>
    <w:tmpl w:val="74F423DE"/>
    <w:lvl w:ilvl="0" w:tplc="4BC2BFA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06A666F"/>
    <w:multiLevelType w:val="multilevel"/>
    <w:tmpl w:val="99B4037A"/>
    <w:lvl w:ilvl="0">
      <w:start w:val="1"/>
      <w:numFmt w:val="decimal"/>
      <w:lvlText w:val="%1."/>
      <w:lvlJc w:val="left"/>
      <w:pPr>
        <w:ind w:left="218" w:hanging="360"/>
      </w:pPr>
      <w:rPr>
        <w:rFonts w:hint="default"/>
        <w:b/>
        <w:bCs/>
      </w:rPr>
    </w:lvl>
    <w:lvl w:ilvl="1">
      <w:start w:val="1"/>
      <w:numFmt w:val="decimal"/>
      <w:isLgl/>
      <w:lvlText w:val="%1.%2"/>
      <w:lvlJc w:val="left"/>
      <w:pPr>
        <w:ind w:left="413" w:hanging="555"/>
      </w:pPr>
      <w:rPr>
        <w:rFonts w:hint="default"/>
        <w:b/>
        <w:bCs/>
        <w:i w:val="0"/>
        <w:color w:val="auto"/>
      </w:rPr>
    </w:lvl>
    <w:lvl w:ilvl="2">
      <w:start w:val="1"/>
      <w:numFmt w:val="decimal"/>
      <w:isLgl/>
      <w:lvlText w:val="%1.%2.%3"/>
      <w:lvlJc w:val="left"/>
      <w:pPr>
        <w:ind w:left="578" w:hanging="720"/>
      </w:pPr>
      <w:rPr>
        <w:rFonts w:hint="default"/>
        <w:b w:val="0"/>
        <w:i w:val="0"/>
        <w:color w:val="auto"/>
      </w:rPr>
    </w:lvl>
    <w:lvl w:ilvl="3">
      <w:start w:val="1"/>
      <w:numFmt w:val="decimal"/>
      <w:isLgl/>
      <w:lvlText w:val="%1.%2.%3.%4"/>
      <w:lvlJc w:val="left"/>
      <w:pPr>
        <w:ind w:left="938" w:hanging="1080"/>
      </w:pPr>
      <w:rPr>
        <w:rFonts w:hint="default"/>
        <w:b w:val="0"/>
        <w:i w:val="0"/>
        <w:color w:val="auto"/>
      </w:rPr>
    </w:lvl>
    <w:lvl w:ilvl="4">
      <w:start w:val="1"/>
      <w:numFmt w:val="decimal"/>
      <w:isLgl/>
      <w:lvlText w:val="%1.%2.%3.%4.%5"/>
      <w:lvlJc w:val="left"/>
      <w:pPr>
        <w:ind w:left="938" w:hanging="1080"/>
      </w:pPr>
      <w:rPr>
        <w:rFonts w:hint="default"/>
        <w:b w:val="0"/>
        <w:i w:val="0"/>
        <w:color w:val="auto"/>
      </w:rPr>
    </w:lvl>
    <w:lvl w:ilvl="5">
      <w:start w:val="1"/>
      <w:numFmt w:val="decimal"/>
      <w:isLgl/>
      <w:lvlText w:val="%1.%2.%3.%4.%5.%6"/>
      <w:lvlJc w:val="left"/>
      <w:pPr>
        <w:ind w:left="1298" w:hanging="1440"/>
      </w:pPr>
      <w:rPr>
        <w:rFonts w:hint="default"/>
        <w:b w:val="0"/>
        <w:i w:val="0"/>
        <w:color w:val="auto"/>
      </w:rPr>
    </w:lvl>
    <w:lvl w:ilvl="6">
      <w:start w:val="1"/>
      <w:numFmt w:val="decimal"/>
      <w:isLgl/>
      <w:lvlText w:val="%1.%2.%3.%4.%5.%6.%7"/>
      <w:lvlJc w:val="left"/>
      <w:pPr>
        <w:ind w:left="1298" w:hanging="1440"/>
      </w:pPr>
      <w:rPr>
        <w:rFonts w:hint="default"/>
        <w:b w:val="0"/>
        <w:i w:val="0"/>
        <w:color w:val="auto"/>
      </w:rPr>
    </w:lvl>
    <w:lvl w:ilvl="7">
      <w:start w:val="1"/>
      <w:numFmt w:val="decimal"/>
      <w:isLgl/>
      <w:lvlText w:val="%1.%2.%3.%4.%5.%6.%7.%8"/>
      <w:lvlJc w:val="left"/>
      <w:pPr>
        <w:ind w:left="1658" w:hanging="1800"/>
      </w:pPr>
      <w:rPr>
        <w:rFonts w:hint="default"/>
        <w:b w:val="0"/>
        <w:i w:val="0"/>
        <w:color w:val="auto"/>
      </w:rPr>
    </w:lvl>
    <w:lvl w:ilvl="8">
      <w:start w:val="1"/>
      <w:numFmt w:val="decimal"/>
      <w:isLgl/>
      <w:lvlText w:val="%1.%2.%3.%4.%5.%6.%7.%8.%9"/>
      <w:lvlJc w:val="left"/>
      <w:pPr>
        <w:ind w:left="1658" w:hanging="1800"/>
      </w:pPr>
      <w:rPr>
        <w:rFonts w:hint="default"/>
        <w:b w:val="0"/>
        <w:i w:val="0"/>
        <w:color w:val="auto"/>
      </w:rPr>
    </w:lvl>
  </w:abstractNum>
  <w:abstractNum w:abstractNumId="9" w15:restartNumberingAfterBreak="0">
    <w:nsid w:val="48DA1F73"/>
    <w:multiLevelType w:val="multilevel"/>
    <w:tmpl w:val="B09AA730"/>
    <w:styleLink w:val="Committeereportnumbering"/>
    <w:lvl w:ilvl="0">
      <w:start w:val="1"/>
      <w:numFmt w:val="decimal"/>
      <w:pStyle w:val="Heading2"/>
      <w:lvlText w:val="%1."/>
      <w:lvlJc w:val="left"/>
      <w:pPr>
        <w:ind w:left="360" w:hanging="360"/>
      </w:pPr>
      <w:rPr>
        <w:rFonts w:ascii="Arial" w:hAnsi="Arial" w:hint="default"/>
      </w:rPr>
    </w:lvl>
    <w:lvl w:ilvl="1">
      <w:start w:val="1"/>
      <w:numFmt w:val="decimal"/>
      <w:pStyle w:val="Normal"/>
      <w:lvlText w:val="%1.%2"/>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C64138"/>
    <w:multiLevelType w:val="multilevel"/>
    <w:tmpl w:val="98DCDB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A6409D"/>
    <w:multiLevelType w:val="hybridMultilevel"/>
    <w:tmpl w:val="1B4A5696"/>
    <w:lvl w:ilvl="0" w:tplc="C94627A4">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61695517"/>
    <w:multiLevelType w:val="hybridMultilevel"/>
    <w:tmpl w:val="8FA8AB4A"/>
    <w:lvl w:ilvl="0" w:tplc="B112A59E">
      <w:start w:val="1"/>
      <w:numFmt w:val="lowerLetter"/>
      <w:lvlText w:val="%1)"/>
      <w:lvlJc w:val="left"/>
      <w:pPr>
        <w:ind w:left="218" w:hanging="360"/>
      </w:pPr>
      <w:rPr>
        <w:rFonts w:ascii="Arial" w:hAnsi="Arial" w:cs="Arial" w:hint="default"/>
        <w:b/>
        <w:bCs/>
        <w:i w:val="0"/>
        <w:iCs w:val="0"/>
        <w:color w:val="000000" w:themeColor="text1"/>
        <w:sz w:val="24"/>
        <w:szCs w:val="24"/>
      </w:rPr>
    </w:lvl>
    <w:lvl w:ilvl="1" w:tplc="08090019" w:tentative="1">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661E486C"/>
    <w:multiLevelType w:val="hybridMultilevel"/>
    <w:tmpl w:val="26A8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5"/>
  </w:num>
  <w:num w:numId="6">
    <w:abstractNumId w:val="9"/>
  </w:num>
  <w:num w:numId="7">
    <w:abstractNumId w:val="6"/>
  </w:num>
  <w:num w:numId="8">
    <w:abstractNumId w:val="1"/>
  </w:num>
  <w:num w:numId="9">
    <w:abstractNumId w:val="4"/>
  </w:num>
  <w:num w:numId="10">
    <w:abstractNumId w:val="13"/>
  </w:num>
  <w:num w:numId="11">
    <w:abstractNumId w:val="12"/>
  </w:num>
  <w:num w:numId="12">
    <w:abstractNumId w:val="8"/>
  </w:num>
  <w:num w:numId="13">
    <w:abstractNumId w:val="3"/>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BF"/>
    <w:rsid w:val="0002230F"/>
    <w:rsid w:val="000245A6"/>
    <w:rsid w:val="000814B0"/>
    <w:rsid w:val="00084C4D"/>
    <w:rsid w:val="000B22BA"/>
    <w:rsid w:val="0013772E"/>
    <w:rsid w:val="0014170C"/>
    <w:rsid w:val="001744F0"/>
    <w:rsid w:val="001B447C"/>
    <w:rsid w:val="001B7134"/>
    <w:rsid w:val="001D5C8F"/>
    <w:rsid w:val="00227C45"/>
    <w:rsid w:val="00247759"/>
    <w:rsid w:val="0027515C"/>
    <w:rsid w:val="002756DC"/>
    <w:rsid w:val="0028449A"/>
    <w:rsid w:val="00290D38"/>
    <w:rsid w:val="002D2D28"/>
    <w:rsid w:val="002E4F0D"/>
    <w:rsid w:val="002E6F6C"/>
    <w:rsid w:val="00301CBF"/>
    <w:rsid w:val="00313A60"/>
    <w:rsid w:val="00331123"/>
    <w:rsid w:val="00336A0D"/>
    <w:rsid w:val="00364053"/>
    <w:rsid w:val="003A7B78"/>
    <w:rsid w:val="003B37D4"/>
    <w:rsid w:val="003C67C1"/>
    <w:rsid w:val="00405A9A"/>
    <w:rsid w:val="00415923"/>
    <w:rsid w:val="00445485"/>
    <w:rsid w:val="00474801"/>
    <w:rsid w:val="004A702B"/>
    <w:rsid w:val="0051573E"/>
    <w:rsid w:val="005302DF"/>
    <w:rsid w:val="00563A5F"/>
    <w:rsid w:val="0056463A"/>
    <w:rsid w:val="00574C67"/>
    <w:rsid w:val="005864AB"/>
    <w:rsid w:val="005923A8"/>
    <w:rsid w:val="005E7D21"/>
    <w:rsid w:val="00615791"/>
    <w:rsid w:val="00640C0A"/>
    <w:rsid w:val="00656876"/>
    <w:rsid w:val="0069063A"/>
    <w:rsid w:val="006A145B"/>
    <w:rsid w:val="006A3F9C"/>
    <w:rsid w:val="006B4916"/>
    <w:rsid w:val="006C7FC1"/>
    <w:rsid w:val="006D6F8F"/>
    <w:rsid w:val="006F7B47"/>
    <w:rsid w:val="0070141B"/>
    <w:rsid w:val="00733829"/>
    <w:rsid w:val="00737E9E"/>
    <w:rsid w:val="00745EF9"/>
    <w:rsid w:val="007F22C8"/>
    <w:rsid w:val="00810166"/>
    <w:rsid w:val="00834C82"/>
    <w:rsid w:val="00873B6D"/>
    <w:rsid w:val="008A5507"/>
    <w:rsid w:val="008C56D6"/>
    <w:rsid w:val="00901739"/>
    <w:rsid w:val="0095565B"/>
    <w:rsid w:val="009D20E1"/>
    <w:rsid w:val="00A457F2"/>
    <w:rsid w:val="00A57AF6"/>
    <w:rsid w:val="00A64C33"/>
    <w:rsid w:val="00A92DF9"/>
    <w:rsid w:val="00A96929"/>
    <w:rsid w:val="00AA68D6"/>
    <w:rsid w:val="00B00353"/>
    <w:rsid w:val="00B22E99"/>
    <w:rsid w:val="00B252B2"/>
    <w:rsid w:val="00B474DA"/>
    <w:rsid w:val="00B76F66"/>
    <w:rsid w:val="00B81FE3"/>
    <w:rsid w:val="00B85974"/>
    <w:rsid w:val="00BE2228"/>
    <w:rsid w:val="00BF7098"/>
    <w:rsid w:val="00C165DA"/>
    <w:rsid w:val="00C32628"/>
    <w:rsid w:val="00C60FB0"/>
    <w:rsid w:val="00C62316"/>
    <w:rsid w:val="00CB49D2"/>
    <w:rsid w:val="00D16F44"/>
    <w:rsid w:val="00D27299"/>
    <w:rsid w:val="00D30791"/>
    <w:rsid w:val="00D50116"/>
    <w:rsid w:val="00DB7489"/>
    <w:rsid w:val="00DD3903"/>
    <w:rsid w:val="00E3568E"/>
    <w:rsid w:val="00E60B00"/>
    <w:rsid w:val="00E74AED"/>
    <w:rsid w:val="00E7699E"/>
    <w:rsid w:val="00EC2060"/>
    <w:rsid w:val="00F063BB"/>
    <w:rsid w:val="00F132E3"/>
    <w:rsid w:val="00F20F7A"/>
    <w:rsid w:val="00F44800"/>
    <w:rsid w:val="00F47284"/>
    <w:rsid w:val="00F71E09"/>
    <w:rsid w:val="00F816DF"/>
    <w:rsid w:val="00F867CF"/>
    <w:rsid w:val="00F966D6"/>
    <w:rsid w:val="00FA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0DC6E0"/>
  <w15:chartTrackingRefBased/>
  <w15:docId w15:val="{C7FF7D91-02C2-4328-9DC3-27842641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66"/>
    <w:pPr>
      <w:numPr>
        <w:ilvl w:val="1"/>
        <w:numId w:val="7"/>
      </w:numPr>
      <w:spacing w:after="240"/>
      <w:ind w:left="357" w:hanging="357"/>
    </w:pPr>
    <w:rPr>
      <w:rFonts w:ascii="Arial" w:hAnsi="Arial"/>
      <w:sz w:val="24"/>
    </w:rPr>
  </w:style>
  <w:style w:type="paragraph" w:styleId="Heading1">
    <w:name w:val="heading 1"/>
    <w:basedOn w:val="Normal"/>
    <w:next w:val="Normal"/>
    <w:link w:val="Heading1Char"/>
    <w:uiPriority w:val="9"/>
    <w:qFormat/>
    <w:rsid w:val="00810166"/>
    <w:pPr>
      <w:keepNext/>
      <w:keepLines/>
      <w:spacing w:before="2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810166"/>
    <w:pPr>
      <w:keepNext/>
      <w:keepLines/>
      <w:numPr>
        <w:ilvl w:val="0"/>
      </w:numPr>
      <w:spacing w:before="40"/>
      <w:ind w:left="357" w:hanging="357"/>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E3568E"/>
    <w:pPr>
      <w:keepNext/>
      <w:keepLines/>
      <w:spacing w:before="40" w:line="240" w:lineRule="auto"/>
      <w:ind w:left="0" w:firstLine="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0245A6"/>
    <w:pPr>
      <w:ind w:left="720"/>
      <w:contextualSpacing/>
    </w:pPr>
  </w:style>
  <w:style w:type="character" w:customStyle="1" w:styleId="Heading1Char">
    <w:name w:val="Heading 1 Char"/>
    <w:basedOn w:val="DefaultParagraphFont"/>
    <w:link w:val="Heading1"/>
    <w:uiPriority w:val="9"/>
    <w:rsid w:val="00810166"/>
    <w:rPr>
      <w:rFonts w:ascii="Arial" w:eastAsiaTheme="majorEastAsia" w:hAnsi="Arial" w:cstheme="majorBidi"/>
      <w:b/>
      <w:color w:val="000000" w:themeColor="text1"/>
      <w:sz w:val="48"/>
      <w:szCs w:val="32"/>
    </w:rPr>
  </w:style>
  <w:style w:type="character" w:customStyle="1" w:styleId="Heading2Char">
    <w:name w:val="Heading 2 Char"/>
    <w:basedOn w:val="DefaultParagraphFont"/>
    <w:link w:val="Heading2"/>
    <w:uiPriority w:val="9"/>
    <w:rsid w:val="00810166"/>
    <w:rPr>
      <w:rFonts w:ascii="Arial" w:eastAsiaTheme="majorEastAsia" w:hAnsi="Arial" w:cstheme="majorBidi"/>
      <w:b/>
      <w:color w:val="000000" w:themeColor="text1"/>
      <w:sz w:val="36"/>
      <w:szCs w:val="26"/>
    </w:rPr>
  </w:style>
  <w:style w:type="character" w:customStyle="1" w:styleId="Heading3Char">
    <w:name w:val="Heading 3 Char"/>
    <w:basedOn w:val="DefaultParagraphFont"/>
    <w:link w:val="Heading3"/>
    <w:uiPriority w:val="9"/>
    <w:rsid w:val="00E3568E"/>
    <w:rPr>
      <w:rFonts w:ascii="Arial" w:eastAsiaTheme="majorEastAsia" w:hAnsi="Arial" w:cstheme="majorBidi"/>
      <w:b/>
      <w:color w:val="000000" w:themeColor="text1"/>
      <w:sz w:val="28"/>
      <w:szCs w:val="24"/>
    </w:rPr>
  </w:style>
  <w:style w:type="paragraph" w:styleId="NoSpacing">
    <w:name w:val="No Spacing"/>
    <w:uiPriority w:val="1"/>
    <w:qFormat/>
    <w:rsid w:val="00D30791"/>
    <w:pPr>
      <w:spacing w:after="0" w:line="240" w:lineRule="auto"/>
    </w:pPr>
    <w:rPr>
      <w:rFonts w:ascii="Arial" w:hAnsi="Arial"/>
      <w:sz w:val="24"/>
    </w:rPr>
  </w:style>
  <w:style w:type="character" w:styleId="Hyperlink">
    <w:name w:val="Hyperlink"/>
    <w:basedOn w:val="DefaultParagraphFont"/>
    <w:uiPriority w:val="99"/>
    <w:unhideWhenUsed/>
    <w:rsid w:val="00331123"/>
    <w:rPr>
      <w:color w:val="0563C1" w:themeColor="hyperlink"/>
      <w:u w:val="single"/>
    </w:rPr>
  </w:style>
  <w:style w:type="character" w:styleId="UnresolvedMention">
    <w:name w:val="Unresolved Mention"/>
    <w:basedOn w:val="DefaultParagraphFont"/>
    <w:uiPriority w:val="99"/>
    <w:semiHidden/>
    <w:unhideWhenUsed/>
    <w:rsid w:val="00331123"/>
    <w:rPr>
      <w:color w:val="605E5C"/>
      <w:shd w:val="clear" w:color="auto" w:fill="E1DFDD"/>
    </w:rPr>
  </w:style>
  <w:style w:type="numbering" w:customStyle="1" w:styleId="Committeereportnumbering">
    <w:name w:val="Committee report numbering"/>
    <w:uiPriority w:val="99"/>
    <w:rsid w:val="00C60FB0"/>
    <w:pPr>
      <w:numPr>
        <w:numId w:val="6"/>
      </w:numPr>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locked/>
    <w:rsid w:val="00F867CF"/>
    <w:rPr>
      <w:rFonts w:ascii="Arial" w:hAnsi="Arial"/>
      <w:sz w:val="24"/>
    </w:rPr>
  </w:style>
  <w:style w:type="table" w:styleId="TableGrid">
    <w:name w:val="Table Grid"/>
    <w:basedOn w:val="TableNormal"/>
    <w:uiPriority w:val="39"/>
    <w:rsid w:val="00B2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7B78"/>
    <w:rPr>
      <w:sz w:val="16"/>
      <w:szCs w:val="16"/>
    </w:rPr>
  </w:style>
  <w:style w:type="paragraph" w:styleId="CommentText">
    <w:name w:val="annotation text"/>
    <w:basedOn w:val="Normal"/>
    <w:link w:val="CommentTextChar"/>
    <w:uiPriority w:val="99"/>
    <w:semiHidden/>
    <w:unhideWhenUsed/>
    <w:rsid w:val="003A7B78"/>
    <w:pPr>
      <w:spacing w:line="240" w:lineRule="auto"/>
    </w:pPr>
    <w:rPr>
      <w:sz w:val="20"/>
      <w:szCs w:val="20"/>
    </w:rPr>
  </w:style>
  <w:style w:type="character" w:customStyle="1" w:styleId="CommentTextChar">
    <w:name w:val="Comment Text Char"/>
    <w:basedOn w:val="DefaultParagraphFont"/>
    <w:link w:val="CommentText"/>
    <w:uiPriority w:val="99"/>
    <w:semiHidden/>
    <w:rsid w:val="003A7B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7B78"/>
    <w:rPr>
      <w:b/>
      <w:bCs/>
    </w:rPr>
  </w:style>
  <w:style w:type="character" w:customStyle="1" w:styleId="CommentSubjectChar">
    <w:name w:val="Comment Subject Char"/>
    <w:basedOn w:val="CommentTextChar"/>
    <w:link w:val="CommentSubject"/>
    <w:uiPriority w:val="99"/>
    <w:semiHidden/>
    <w:rsid w:val="003A7B7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64717">
      <w:bodyDiv w:val="1"/>
      <w:marLeft w:val="0"/>
      <w:marRight w:val="0"/>
      <w:marTop w:val="0"/>
      <w:marBottom w:val="0"/>
      <w:divBdr>
        <w:top w:val="none" w:sz="0" w:space="0" w:color="auto"/>
        <w:left w:val="none" w:sz="0" w:space="0" w:color="auto"/>
        <w:bottom w:val="none" w:sz="0" w:space="0" w:color="auto"/>
        <w:right w:val="none" w:sz="0" w:space="0" w:color="auto"/>
      </w:divBdr>
    </w:div>
    <w:div w:id="17420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B545-EB92-4DF2-8A8C-C5BB00BD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Malvern Committee Report</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Malvern Committee Report</dc:title>
  <dc:subject/>
  <dc:creator>Ian Dipple</dc:creator>
  <cp:keywords/>
  <dc:description/>
  <cp:lastModifiedBy>Catherine Turnock</cp:lastModifiedBy>
  <cp:revision>2</cp:revision>
  <dcterms:created xsi:type="dcterms:W3CDTF">2022-05-09T09:49:00Z</dcterms:created>
  <dcterms:modified xsi:type="dcterms:W3CDTF">2022-05-09T09:49:00Z</dcterms:modified>
</cp:coreProperties>
</file>